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 xml:space="preserve">KARTA PRZEDMIOTU </w:t>
      </w:r>
    </w:p>
    <w:p>
      <w:pPr>
        <w:pStyle w:val="Normal"/>
        <w:rPr>
          <w:b/>
        </w:rPr>
      </w:pPr>
      <w:r>
        <w:rPr>
          <w:b/>
        </w:rPr>
      </w:r>
    </w:p>
    <w:p>
      <w:pPr>
        <w:pStyle w:val="ListParagraph"/>
        <w:numPr>
          <w:ilvl w:val="0"/>
          <w:numId w:val="1"/>
        </w:numPr>
        <w:rPr>
          <w:b/>
        </w:rPr>
      </w:pPr>
      <w:r>
        <w:rPr>
          <w:b/>
        </w:rPr>
        <w:t>Dane podstawowe</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31"/>
      </w:tblGrid>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Nazwa przedmiotu</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Niemilitarne wyzwania państwa</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Nazwa przedmiotu w języku angielskim</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Non-military challenges of the state</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Kierunek studiów </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Bezpieczeństwo narodowe</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Poziom studiów (I, II, jednolite magisterskie)</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II stopnia</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Forma studiów (stacjonarne, niestacjonarne)</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stacjonarne</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Dyscyplina</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Nauki o polityce i administracji, nauki o bezpieczeństwie</w:t>
            </w:r>
          </w:p>
        </w:tc>
      </w:tr>
      <w:tr>
        <w:trPr/>
        <w:tc>
          <w:tcPr>
            <w:tcW w:w="45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Język wykładowy</w:t>
            </w:r>
          </w:p>
        </w:tc>
        <w:tc>
          <w:tcPr>
            <w:tcW w:w="453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Polski </w:t>
            </w:r>
          </w:p>
        </w:tc>
      </w:tr>
    </w:tbl>
    <w:p>
      <w:pPr>
        <w:pStyle w:val="Normal"/>
        <w:spacing w:before="0" w:after="0"/>
        <w:rPr/>
      </w:pPr>
      <w:r>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40"/>
        <w:gridCol w:w="4521"/>
      </w:tblGrid>
      <w:tr>
        <w:trPr/>
        <w:tc>
          <w:tcPr>
            <w:tcW w:w="454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Koordynator przedmiotu/osoba odpowiedzialna</w:t>
            </w:r>
          </w:p>
        </w:tc>
        <w:tc>
          <w:tcPr>
            <w:tcW w:w="452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Dr Grzegorz Tutak</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bl>
    <w:p>
      <w:pPr>
        <w:pStyle w:val="Normal"/>
        <w:spacing w:before="0" w:after="0"/>
        <w:rPr/>
      </w:pPr>
      <w:r>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85"/>
        <w:gridCol w:w="2257"/>
        <w:gridCol w:w="2261"/>
        <w:gridCol w:w="2258"/>
      </w:tblGrid>
      <w:tr>
        <w:trPr/>
        <w:tc>
          <w:tcPr>
            <w:tcW w:w="2285" w:type="dxa"/>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Forma zajęć </w:t>
            </w:r>
            <w:r>
              <w:rPr>
                <w:rFonts w:eastAsia="Calibri" w:cs=""/>
                <w:i/>
                <w:kern w:val="0"/>
                <w:sz w:val="22"/>
                <w:szCs w:val="22"/>
                <w:lang w:val="pl-PL" w:eastAsia="en-US" w:bidi="ar-SA"/>
              </w:rPr>
              <w:t>(katalog zamknięty ze słownika)</w:t>
            </w:r>
          </w:p>
        </w:tc>
        <w:tc>
          <w:tcPr>
            <w:tcW w:w="2257" w:type="dxa"/>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Liczba godzin</w:t>
            </w:r>
          </w:p>
        </w:tc>
        <w:tc>
          <w:tcPr>
            <w:tcW w:w="2261" w:type="dxa"/>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semestr</w:t>
            </w:r>
          </w:p>
        </w:tc>
        <w:tc>
          <w:tcPr>
            <w:tcW w:w="2258" w:type="dxa"/>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Punkty ECTS</w:t>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wykład</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restart"/>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2</w:t>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konwersatorium</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15</w:t>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2</w:t>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ćwiczenia</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laboratorium</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warsztaty</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seminarium</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proseminarium</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lektorat</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praktyki</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zajęcia terenowe</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pracownia dyplomowa</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translatorium</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2285"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wizyta studyjna</w:t>
            </w:r>
          </w:p>
        </w:tc>
        <w:tc>
          <w:tcPr>
            <w:tcW w:w="2257"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61"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58" w:type="dxa"/>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bl>
    <w:p>
      <w:pPr>
        <w:pStyle w:val="Normal"/>
        <w:spacing w:before="0" w:after="0"/>
        <w:rPr/>
      </w:pPr>
      <w:r>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2"/>
        <w:gridCol w:w="6849"/>
      </w:tblGrid>
      <w:tr>
        <w:trPr/>
        <w:tc>
          <w:tcPr>
            <w:tcW w:w="221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Wymagania wstępne</w:t>
            </w:r>
          </w:p>
        </w:tc>
        <w:tc>
          <w:tcPr>
            <w:tcW w:w="684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Podstawowa wiedza na temat współczesnych zagrożeń</w:t>
            </w:r>
          </w:p>
        </w:tc>
      </w:tr>
    </w:tbl>
    <w:p>
      <w:pPr>
        <w:pStyle w:val="Normal"/>
        <w:spacing w:before="0" w:after="0"/>
        <w:rPr/>
      </w:pPr>
      <w:r>
        <w:rPr/>
      </w:r>
    </w:p>
    <w:p>
      <w:pPr>
        <w:pStyle w:val="Normal"/>
        <w:spacing w:before="0" w:after="0"/>
        <w:rPr/>
      </w:pPr>
      <w:r>
        <w:rPr/>
      </w:r>
    </w:p>
    <w:p>
      <w:pPr>
        <w:pStyle w:val="ListParagraph"/>
        <w:numPr>
          <w:ilvl w:val="0"/>
          <w:numId w:val="1"/>
        </w:numPr>
        <w:rPr>
          <w:b/>
        </w:rPr>
      </w:pPr>
      <w:r>
        <w:rPr>
          <w:b/>
        </w:rPr>
        <w:t xml:space="preserve">Cele kształcenia dla przedmiotu </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C1- zapoznanie studentów z najważniejszymi wyzwaniami stojącymi przed państwami</w:t>
            </w:r>
          </w:p>
        </w:tc>
      </w:tr>
      <w:tr>
        <w:trPr/>
        <w:tc>
          <w:tcPr>
            <w:tcW w:w="906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C2- omówienie i charakterystyka głównych zagrożeń państwa o charakterze niemilitarnym</w:t>
            </w:r>
          </w:p>
        </w:tc>
      </w:tr>
    </w:tbl>
    <w:p>
      <w:pPr>
        <w:pStyle w:val="Normal"/>
        <w:spacing w:before="0" w:after="0"/>
        <w:rPr/>
      </w:pPr>
      <w:r>
        <w:rPr/>
      </w:r>
    </w:p>
    <w:p>
      <w:pPr>
        <w:pStyle w:val="Normal"/>
        <w:rPr/>
      </w:pPr>
      <w:r>
        <w:rPr/>
      </w:r>
      <w:r>
        <w:br w:type="page"/>
      </w:r>
    </w:p>
    <w:p>
      <w:pPr>
        <w:pStyle w:val="Normal"/>
        <w:spacing w:before="0" w:after="0"/>
        <w:rPr/>
      </w:pPr>
      <w:r>
        <w:rPr/>
      </w:r>
    </w:p>
    <w:p>
      <w:pPr>
        <w:pStyle w:val="ListParagraph"/>
        <w:numPr>
          <w:ilvl w:val="0"/>
          <w:numId w:val="1"/>
        </w:numPr>
        <w:rPr>
          <w:b/>
        </w:rPr>
      </w:pPr>
      <w:r>
        <w:rPr>
          <w:b/>
        </w:rPr>
        <w:t>Efekty uczenia się dla przedmiotu wraz z odniesieniem do efektów kierunkowych</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4"/>
        <w:gridCol w:w="5830"/>
        <w:gridCol w:w="2138"/>
      </w:tblGrid>
      <w:tr>
        <w:trPr/>
        <w:tc>
          <w:tcPr>
            <w:tcW w:w="1094"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Symbol</w:t>
            </w:r>
          </w:p>
        </w:tc>
        <w:tc>
          <w:tcPr>
            <w:tcW w:w="5830"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Opis efektu przedmiotowego</w:t>
            </w:r>
          </w:p>
        </w:tc>
        <w:tc>
          <w:tcPr>
            <w:tcW w:w="2138"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Odniesienie do efektu kierunkowego</w:t>
            </w:r>
          </w:p>
        </w:tc>
      </w:tr>
      <w:tr>
        <w:trPr/>
        <w:tc>
          <w:tcPr>
            <w:tcW w:w="9062" w:type="dxa"/>
            <w:gridSpan w:val="3"/>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WIEDZA</w:t>
            </w:r>
          </w:p>
        </w:tc>
      </w:tr>
      <w:tr>
        <w:trPr/>
        <w:tc>
          <w:tcPr>
            <w:tcW w:w="1094"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W_01</w:t>
            </w:r>
          </w:p>
        </w:tc>
        <w:tc>
          <w:tcPr>
            <w:tcW w:w="58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Absolwent zna kontekst zjawisk i procesów społecznych, przyczyn i skutków o charakterze niemilitarnym istotnych dla funkcjonowania państwa</w:t>
            </w:r>
          </w:p>
        </w:tc>
        <w:tc>
          <w:tcPr>
            <w:tcW w:w="21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K_W01</w:t>
            </w:r>
          </w:p>
        </w:tc>
      </w:tr>
      <w:tr>
        <w:trPr/>
        <w:tc>
          <w:tcPr>
            <w:tcW w:w="1094"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W_02</w:t>
            </w:r>
          </w:p>
        </w:tc>
        <w:tc>
          <w:tcPr>
            <w:tcW w:w="58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Zna i rozumie uwarunkowania bezpieczeństwa narodowego, systemów bezpieczeństwa państwa, a także bezpieczeństwa w kontekście zagrożeń o charakterze niemilitarnym</w:t>
            </w:r>
          </w:p>
        </w:tc>
        <w:tc>
          <w:tcPr>
            <w:tcW w:w="21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9062" w:type="dxa"/>
            <w:gridSpan w:val="3"/>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UMIEJĘTNOŚCI</w:t>
            </w:r>
          </w:p>
        </w:tc>
      </w:tr>
      <w:tr>
        <w:trPr/>
        <w:tc>
          <w:tcPr>
            <w:tcW w:w="1094"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U_01</w:t>
            </w:r>
          </w:p>
        </w:tc>
        <w:tc>
          <w:tcPr>
            <w:tcW w:w="58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Absolwent potrafi wykorzystywać posiadaną, pogłębioną wiedzę teoretyczną do analizowania, diagnozowania, wyjaśniania oraz prognozowania kwestii</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szczegółowych odnoszących się do bezpieczeństwa na poziomie państwa w kontekście zagrożeń pozamilitarnych</w:t>
            </w:r>
          </w:p>
        </w:tc>
        <w:tc>
          <w:tcPr>
            <w:tcW w:w="21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K_U01</w:t>
            </w:r>
          </w:p>
        </w:tc>
      </w:tr>
      <w:tr>
        <w:trPr/>
        <w:tc>
          <w:tcPr>
            <w:tcW w:w="1094"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U_02</w:t>
            </w:r>
          </w:p>
        </w:tc>
        <w:tc>
          <w:tcPr>
            <w:tcW w:w="58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Potrafi wykorzystywać pogłębioną wiedzę teoretyczną w rozwiązywaniu problemów związanych z bezpieczeństwem państwa  w zakresie wyzwań niemilitarnych</w:t>
            </w:r>
          </w:p>
        </w:tc>
        <w:tc>
          <w:tcPr>
            <w:tcW w:w="21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K_U03</w:t>
            </w:r>
          </w:p>
        </w:tc>
      </w:tr>
      <w:tr>
        <w:trPr/>
        <w:tc>
          <w:tcPr>
            <w:tcW w:w="9062" w:type="dxa"/>
            <w:gridSpan w:val="3"/>
            <w:tcBorders/>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KOMPETENCJE SPOŁECZNE</w:t>
            </w:r>
          </w:p>
        </w:tc>
      </w:tr>
      <w:tr>
        <w:trPr/>
        <w:tc>
          <w:tcPr>
            <w:tcW w:w="1094"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K_01</w:t>
            </w:r>
          </w:p>
        </w:tc>
        <w:tc>
          <w:tcPr>
            <w:tcW w:w="5830"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Potrafi myśleć i działać w sposób prospołeczny i przedsiębiorczy, w tym także zarządzać ryzykiem</w:t>
            </w:r>
          </w:p>
        </w:tc>
        <w:tc>
          <w:tcPr>
            <w:tcW w:w="21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K_K02</w:t>
            </w:r>
          </w:p>
        </w:tc>
      </w:tr>
    </w:tbl>
    <w:p>
      <w:pPr>
        <w:pStyle w:val="ListParagraph"/>
        <w:ind w:left="1080" w:hanging="0"/>
        <w:rPr>
          <w:b/>
        </w:rPr>
      </w:pPr>
      <w:r>
        <w:rPr>
          <w:b/>
        </w:rPr>
      </w:r>
    </w:p>
    <w:p>
      <w:pPr>
        <w:pStyle w:val="ListParagraph"/>
        <w:numPr>
          <w:ilvl w:val="0"/>
          <w:numId w:val="1"/>
        </w:numPr>
        <w:rPr>
          <w:b/>
        </w:rPr>
      </w:pPr>
      <w:r>
        <w:rPr>
          <w:b/>
        </w:rPr>
        <w:t>Opis przedmiotu/ treści programowe</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Calibri" w:cs="Calibri" w:cstheme="minorHAnsi"/>
                <w:b/>
                <w:kern w:val="0"/>
                <w:sz w:val="22"/>
                <w:szCs w:val="22"/>
                <w:lang w:val="pl-PL" w:eastAsia="en-US" w:bidi="ar-SA"/>
              </w:rPr>
              <w:t xml:space="preserve">Konflikty na tle etnicznym </w:t>
            </w:r>
            <w:r>
              <w:rPr>
                <w:rFonts w:eastAsia="Calibri" w:cs="Calibri" w:cstheme="minorHAnsi"/>
                <w:bCs/>
                <w:kern w:val="0"/>
                <w:sz w:val="22"/>
                <w:szCs w:val="22"/>
                <w:lang w:val="pl-PL" w:eastAsia="en-US" w:bidi="ar-SA"/>
              </w:rPr>
              <w:t>(definicje konfliktów etnicznych, mniejszości etnicznej,</w:t>
            </w:r>
            <w:r>
              <w:rPr>
                <w:rFonts w:eastAsia="Calibri" w:cs="Calibri" w:cstheme="minorHAnsi"/>
                <w:b/>
                <w:kern w:val="0"/>
                <w:sz w:val="22"/>
                <w:szCs w:val="22"/>
                <w:lang w:val="pl-PL" w:eastAsia="en-US" w:bidi="ar-SA"/>
              </w:rPr>
              <w:t xml:space="preserve"> </w:t>
            </w:r>
            <w:r>
              <w:rPr>
                <w:rFonts w:eastAsia="Times New Roman" w:cs="Calibri" w:cstheme="minorHAnsi"/>
                <w:kern w:val="0"/>
                <w:sz w:val="21"/>
                <w:szCs w:val="21"/>
                <w:lang w:val="pl-PL" w:eastAsia="pl-PL" w:bidi="ar-SA"/>
              </w:rPr>
              <w:t>uwarunkowania konfliktów etnicznych, przykłady konfliktów etnicznych, znaczenie polityki narodowościowej w kontekście konfliktów etnicznych, wielokulturowość a etniczność)</w:t>
            </w:r>
          </w:p>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Calibri" w:cs="Calibri" w:cstheme="minorHAnsi"/>
                <w:b/>
                <w:kern w:val="0"/>
                <w:sz w:val="22"/>
                <w:szCs w:val="22"/>
                <w:lang w:val="pl-PL" w:eastAsia="en-US" w:bidi="ar-SA"/>
              </w:rPr>
              <w:t xml:space="preserve">Problemy demograficzne </w:t>
            </w:r>
            <w:r>
              <w:rPr>
                <w:rFonts w:eastAsia="Calibri" w:cs="Calibri" w:cstheme="minorHAnsi"/>
                <w:bCs/>
                <w:kern w:val="0"/>
                <w:sz w:val="22"/>
                <w:szCs w:val="22"/>
                <w:lang w:val="pl-PL" w:eastAsia="en-US" w:bidi="ar-SA"/>
              </w:rPr>
              <w:t>(</w:t>
            </w:r>
            <w:r>
              <w:rPr>
                <w:rFonts w:eastAsia="Times New Roman" w:cs="Calibri" w:cstheme="minorHAnsi"/>
                <w:kern w:val="0"/>
                <w:sz w:val="21"/>
                <w:szCs w:val="21"/>
                <w:lang w:val="pl-PL" w:eastAsia="pl-PL" w:bidi="ar-SA"/>
              </w:rPr>
              <w:t xml:space="preserve"> ogólna charakterystyka tendencji globalnych demograficznych na podstawie danych ONZ oraz Eurostatu,  przyczyny problemów demograficznych, depopulacja, przeludnienie, starzenie się społeczeństwa, konsekwencje zmian demograficznych dla rynku pracy, gospodarki, opieki zdrowotnej, opieki społecznej, samego społeczeństwa,  sytuacja/problemy demograficzne wybranych państw</w:t>
            </w:r>
          </w:p>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Times New Roman" w:cs="Calibri" w:cstheme="minorHAnsi"/>
                <w:b/>
                <w:bCs/>
                <w:kern w:val="0"/>
                <w:sz w:val="21"/>
                <w:szCs w:val="21"/>
                <w:lang w:val="pl-PL" w:eastAsia="pl-PL" w:bidi="ar-SA"/>
              </w:rPr>
              <w:t>Konflikty społeczne</w:t>
            </w:r>
            <w:r>
              <w:rPr>
                <w:rFonts w:eastAsia="Times New Roman" w:cs="Calibri" w:cstheme="minorHAnsi"/>
                <w:kern w:val="0"/>
                <w:sz w:val="21"/>
                <w:szCs w:val="21"/>
                <w:lang w:val="pl-PL" w:eastAsia="pl-PL" w:bidi="ar-SA"/>
              </w:rPr>
              <w:t xml:space="preserve"> (definicja konfliktów społecznych, przyczyny i rodzaje konfliktów społecznych, przykłady, o wartości, konflikty na tle politycznym, kulturowym, polaryzacja społeczeństwa)</w:t>
            </w:r>
          </w:p>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Times New Roman" w:cs="Calibri" w:cstheme="minorHAnsi"/>
                <w:b/>
                <w:bCs/>
                <w:kern w:val="0"/>
                <w:sz w:val="21"/>
                <w:szCs w:val="21"/>
                <w:lang w:val="pl-PL" w:eastAsia="pl-PL" w:bidi="ar-SA"/>
              </w:rPr>
              <w:t xml:space="preserve">Wyzwania społeczne </w:t>
            </w:r>
            <w:r>
              <w:rPr>
                <w:rFonts w:eastAsia="Times New Roman" w:cs="Calibri" w:cstheme="minorHAnsi"/>
                <w:kern w:val="0"/>
                <w:sz w:val="21"/>
                <w:szCs w:val="21"/>
                <w:lang w:val="pl-PL" w:eastAsia="pl-PL" w:bidi="ar-SA"/>
              </w:rPr>
              <w:t>(marginalizacja społeczna, wykluczenie społeczne,</w:t>
            </w:r>
            <w:r>
              <w:rPr>
                <w:rFonts w:eastAsia="Calibri" w:cs=""/>
                <w:kern w:val="0"/>
                <w:sz w:val="22"/>
                <w:szCs w:val="22"/>
                <w:lang w:val="pl-PL" w:eastAsia="en-US" w:bidi="ar-SA"/>
              </w:rPr>
              <w:t xml:space="preserve"> </w:t>
            </w:r>
            <w:r>
              <w:rPr>
                <w:rFonts w:eastAsia="Times New Roman" w:cs="Calibri" w:cstheme="minorHAnsi"/>
                <w:kern w:val="0"/>
                <w:sz w:val="21"/>
                <w:szCs w:val="21"/>
                <w:lang w:val="pl-PL" w:eastAsia="pl-PL" w:bidi="ar-SA"/>
              </w:rPr>
              <w:t>radykalizmu religijnego, ksenofobia, szowinizm</w:t>
            </w:r>
            <w:r>
              <w:rPr>
                <w:rFonts w:eastAsia="Calibri" w:cs=""/>
                <w:kern w:val="0"/>
                <w:sz w:val="22"/>
                <w:szCs w:val="22"/>
                <w:lang w:val="pl-PL" w:eastAsia="en-US" w:bidi="ar-SA"/>
              </w:rPr>
              <w:t xml:space="preserve"> </w:t>
            </w:r>
            <w:r>
              <w:rPr>
                <w:rFonts w:eastAsia="Times New Roman" w:cs="Calibri" w:cstheme="minorHAnsi"/>
                <w:kern w:val="0"/>
                <w:sz w:val="21"/>
                <w:szCs w:val="21"/>
                <w:lang w:val="pl-PL" w:eastAsia="pl-PL" w:bidi="ar-SA"/>
              </w:rPr>
              <w:t>Patologie społeczne:</w:t>
            </w:r>
            <w:r>
              <w:rPr>
                <w:rFonts w:eastAsia="Calibri" w:cs=""/>
                <w:kern w:val="0"/>
                <w:sz w:val="22"/>
                <w:szCs w:val="22"/>
                <w:lang w:val="pl-PL" w:eastAsia="en-US" w:bidi="ar-SA"/>
              </w:rPr>
              <w:t xml:space="preserve"> </w:t>
            </w:r>
            <w:r>
              <w:rPr>
                <w:rFonts w:eastAsia="Times New Roman" w:cs="Calibri" w:cstheme="minorHAnsi"/>
                <w:kern w:val="0"/>
                <w:sz w:val="21"/>
                <w:szCs w:val="21"/>
                <w:lang w:val="pl-PL" w:eastAsia="pl-PL" w:bidi="ar-SA"/>
              </w:rPr>
              <w:t>narkomania, prostytucja, przestępczość, alkoholizm)</w:t>
            </w:r>
          </w:p>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Times New Roman" w:cs="Calibri" w:cstheme="minorHAnsi"/>
                <w:b/>
                <w:bCs/>
                <w:kern w:val="0"/>
                <w:sz w:val="21"/>
                <w:szCs w:val="21"/>
                <w:lang w:val="pl-PL" w:eastAsia="pl-PL" w:bidi="ar-SA"/>
              </w:rPr>
              <w:t>Wyzwania kulturowe</w:t>
            </w:r>
            <w:r>
              <w:rPr>
                <w:rFonts w:eastAsia="Times New Roman" w:cs="Calibri" w:cstheme="minorHAnsi"/>
                <w:kern w:val="0"/>
                <w:sz w:val="21"/>
                <w:szCs w:val="21"/>
                <w:lang w:val="pl-PL" w:eastAsia="pl-PL" w:bidi="ar-SA"/>
              </w:rPr>
              <w:t xml:space="preserve"> ( czym jest kultura i jej elementy składowe, wielokulturowość, transkulturowość , międzykulturowość, stereotypy, zagrożenia kulturowe, bezpieczeństwo kulturowe)</w:t>
            </w:r>
          </w:p>
          <w:p>
            <w:pPr>
              <w:pStyle w:val="ListParagraph"/>
              <w:widowControl/>
              <w:numPr>
                <w:ilvl w:val="0"/>
                <w:numId w:val="2"/>
              </w:numPr>
              <w:spacing w:lineRule="auto" w:line="240" w:before="0" w:after="0"/>
              <w:contextualSpacing/>
              <w:jc w:val="left"/>
              <w:rPr>
                <w:rFonts w:eastAsia="Times New Roman" w:cs="Calibri" w:cstheme="minorHAnsi"/>
                <w:sz w:val="21"/>
                <w:szCs w:val="21"/>
                <w:lang w:eastAsia="pl-PL"/>
              </w:rPr>
            </w:pPr>
            <w:r>
              <w:rPr>
                <w:rFonts w:eastAsia="Times New Roman" w:cs="Calibri" w:cstheme="minorHAnsi"/>
                <w:b/>
                <w:bCs/>
                <w:kern w:val="0"/>
                <w:sz w:val="21"/>
                <w:szCs w:val="21"/>
                <w:lang w:val="pl-PL" w:eastAsia="pl-PL" w:bidi="ar-SA"/>
              </w:rPr>
              <w:t xml:space="preserve">Zagrożenie polityczne </w:t>
            </w:r>
            <w:r>
              <w:rPr>
                <w:rFonts w:eastAsia="Times New Roman" w:cs="Calibri" w:cstheme="minorHAnsi"/>
                <w:kern w:val="0"/>
                <w:sz w:val="21"/>
                <w:szCs w:val="21"/>
                <w:lang w:val="pl-PL" w:eastAsia="pl-PL" w:bidi="ar-SA"/>
              </w:rPr>
              <w:t>(zagrożenia polityczne- definicja, przykłady- powstawanie niebezpiecznych ideologii, zmiany granicy w sąsiedztwie państwa, łamanie praw człowieka, łamanie praworządności, fałszerstwa wyborcze,  upartyjnienie struktur państwa)</w:t>
            </w:r>
          </w:p>
          <w:p>
            <w:pPr>
              <w:pStyle w:val="ListParagraph"/>
              <w:widowControl/>
              <w:spacing w:lineRule="auto" w:line="240" w:before="0" w:after="0"/>
              <w:contextualSpacing/>
              <w:jc w:val="left"/>
              <w:rPr>
                <w:rFonts w:eastAsia="Times New Roman" w:cs="Calibri" w:cstheme="minorHAnsi"/>
                <w:sz w:val="21"/>
                <w:szCs w:val="21"/>
                <w:lang w:eastAsia="pl-PL"/>
              </w:rPr>
            </w:pPr>
            <w:r>
              <w:rPr>
                <w:rFonts w:eastAsia="Times New Roman" w:cs="Calibri" w:cstheme="minorHAnsi"/>
                <w:kern w:val="0"/>
                <w:sz w:val="21"/>
                <w:szCs w:val="21"/>
                <w:lang w:val="pl-PL" w:eastAsia="pl-PL" w:bidi="ar-SA"/>
              </w:rPr>
            </w:r>
          </w:p>
        </w:tc>
      </w:tr>
    </w:tbl>
    <w:p>
      <w:pPr>
        <w:pStyle w:val="Normal"/>
        <w:rPr>
          <w:b/>
        </w:rPr>
      </w:pPr>
      <w:r>
        <w:rPr>
          <w:b/>
        </w:rPr>
      </w:r>
    </w:p>
    <w:p>
      <w:pPr>
        <w:pStyle w:val="ListParagraph"/>
        <w:numPr>
          <w:ilvl w:val="0"/>
          <w:numId w:val="1"/>
        </w:numPr>
        <w:rPr>
          <w:b/>
        </w:rPr>
      </w:pPr>
      <w:r>
        <w:rPr>
          <w:b/>
        </w:rPr>
        <w:t>Metody realizacji i weryfikacji efektów uczenia się</w:t>
      </w:r>
    </w:p>
    <w:p>
      <w:pPr>
        <w:pStyle w:val="Normal"/>
        <w:rPr>
          <w:bCs/>
        </w:rPr>
      </w:pPr>
      <w:r>
        <w:rPr>
          <w:bCs/>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3"/>
        <w:gridCol w:w="2646"/>
        <w:gridCol w:w="2779"/>
        <w:gridCol w:w="2543"/>
      </w:tblGrid>
      <w:tr>
        <w:trPr/>
        <w:tc>
          <w:tcPr>
            <w:tcW w:w="1093"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Symbol efektu</w:t>
            </w:r>
          </w:p>
        </w:tc>
        <w:tc>
          <w:tcPr>
            <w:tcW w:w="2646"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Metody dydaktyczne</w:t>
            </w:r>
          </w:p>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i/>
                <w:kern w:val="0"/>
                <w:sz w:val="18"/>
                <w:szCs w:val="18"/>
                <w:lang w:val="pl-PL" w:eastAsia="en-US" w:bidi="ar-SA"/>
              </w:rPr>
              <w:t>(lista wyboru)</w:t>
            </w:r>
          </w:p>
        </w:tc>
        <w:tc>
          <w:tcPr>
            <w:tcW w:w="2779"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Metody weryfikacji</w:t>
            </w:r>
          </w:p>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i/>
                <w:kern w:val="0"/>
                <w:sz w:val="18"/>
                <w:szCs w:val="18"/>
                <w:lang w:val="pl-PL" w:eastAsia="en-US" w:bidi="ar-SA"/>
              </w:rPr>
              <w:t>(lista wyboru)</w:t>
            </w:r>
          </w:p>
        </w:tc>
        <w:tc>
          <w:tcPr>
            <w:tcW w:w="2543" w:type="dxa"/>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Sposoby dokumentacji</w:t>
            </w:r>
          </w:p>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i/>
                <w:kern w:val="0"/>
                <w:sz w:val="18"/>
                <w:szCs w:val="18"/>
                <w:lang w:val="pl-PL" w:eastAsia="en-US" w:bidi="ar-SA"/>
              </w:rPr>
              <w:t>(lista wyboru)</w:t>
            </w:r>
          </w:p>
        </w:tc>
      </w:tr>
      <w:tr>
        <w:trPr/>
        <w:tc>
          <w:tcPr>
            <w:tcW w:w="9061" w:type="dxa"/>
            <w:gridSpan w:val="4"/>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WIEDZA</w:t>
            </w:r>
          </w:p>
        </w:tc>
      </w:tr>
      <w:tr>
        <w:trPr/>
        <w:tc>
          <w:tcPr>
            <w:tcW w:w="109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W_01</w:t>
            </w:r>
          </w:p>
        </w:tc>
        <w:tc>
          <w:tcPr>
            <w:tcW w:w="2646"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Praca z tekstem/ dyskusja</w:t>
            </w:r>
          </w:p>
        </w:tc>
        <w:tc>
          <w:tcPr>
            <w:tcW w:w="277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Prezentacja, obserwacja</w:t>
            </w:r>
          </w:p>
        </w:tc>
        <w:tc>
          <w:tcPr>
            <w:tcW w:w="254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protokół</w:t>
            </w:r>
          </w:p>
        </w:tc>
      </w:tr>
      <w:tr>
        <w:trPr/>
        <w:tc>
          <w:tcPr>
            <w:tcW w:w="109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W_02</w:t>
            </w:r>
          </w:p>
        </w:tc>
        <w:tc>
          <w:tcPr>
            <w:tcW w:w="2646"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Praca z tekstem/ dyskusja</w:t>
            </w:r>
          </w:p>
        </w:tc>
        <w:tc>
          <w:tcPr>
            <w:tcW w:w="277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Prezentacja, obserwacja</w:t>
            </w:r>
          </w:p>
        </w:tc>
        <w:tc>
          <w:tcPr>
            <w:tcW w:w="254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protokół</w:t>
            </w:r>
          </w:p>
        </w:tc>
      </w:tr>
      <w:tr>
        <w:trPr/>
        <w:tc>
          <w:tcPr>
            <w:tcW w:w="9061" w:type="dxa"/>
            <w:gridSpan w:val="4"/>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UMIEJĘTNOŚCI</w:t>
            </w:r>
          </w:p>
        </w:tc>
      </w:tr>
      <w:tr>
        <w:trPr/>
        <w:tc>
          <w:tcPr>
            <w:tcW w:w="109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U_01</w:t>
            </w:r>
          </w:p>
        </w:tc>
        <w:tc>
          <w:tcPr>
            <w:tcW w:w="2646"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Praca z tekstem/ dyskusja</w:t>
            </w:r>
          </w:p>
        </w:tc>
        <w:tc>
          <w:tcPr>
            <w:tcW w:w="277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Prezentacja, obserwacja</w:t>
            </w:r>
          </w:p>
        </w:tc>
        <w:tc>
          <w:tcPr>
            <w:tcW w:w="254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protokół</w:t>
            </w:r>
          </w:p>
        </w:tc>
      </w:tr>
      <w:tr>
        <w:trPr/>
        <w:tc>
          <w:tcPr>
            <w:tcW w:w="109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U_02</w:t>
            </w:r>
          </w:p>
        </w:tc>
        <w:tc>
          <w:tcPr>
            <w:tcW w:w="2646"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Praca z tekstem/ dyskusja</w:t>
            </w:r>
          </w:p>
        </w:tc>
        <w:tc>
          <w:tcPr>
            <w:tcW w:w="277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Prezentacja, obserwacja</w:t>
            </w:r>
          </w:p>
        </w:tc>
        <w:tc>
          <w:tcPr>
            <w:tcW w:w="254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protokół</w:t>
            </w:r>
          </w:p>
        </w:tc>
      </w:tr>
      <w:tr>
        <w:trPr/>
        <w:tc>
          <w:tcPr>
            <w:tcW w:w="9061" w:type="dxa"/>
            <w:gridSpan w:val="4"/>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KOMPETENCJE SPOŁECZNE</w:t>
            </w:r>
          </w:p>
        </w:tc>
      </w:tr>
      <w:tr>
        <w:trPr/>
        <w:tc>
          <w:tcPr>
            <w:tcW w:w="109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K_01</w:t>
            </w:r>
          </w:p>
        </w:tc>
        <w:tc>
          <w:tcPr>
            <w:tcW w:w="2646"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Praca z tekstem/ dyskusja</w:t>
            </w:r>
          </w:p>
        </w:tc>
        <w:tc>
          <w:tcPr>
            <w:tcW w:w="2779"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Prezentacja, obserwacja</w:t>
            </w:r>
          </w:p>
        </w:tc>
        <w:tc>
          <w:tcPr>
            <w:tcW w:w="254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protokół</w:t>
            </w:r>
          </w:p>
        </w:tc>
      </w:tr>
    </w:tbl>
    <w:p>
      <w:pPr>
        <w:pStyle w:val="Normal"/>
        <w:spacing w:before="0" w:after="0"/>
        <w:rPr/>
      </w:pPr>
      <w:r>
        <w:rPr/>
      </w:r>
    </w:p>
    <w:p>
      <w:pPr>
        <w:pStyle w:val="ListParagraph"/>
        <w:ind w:left="1080" w:hanging="0"/>
        <w:rPr>
          <w:b/>
        </w:rPr>
      </w:pPr>
      <w:r>
        <w:rPr>
          <w:b/>
        </w:rPr>
      </w:r>
    </w:p>
    <w:p>
      <w:pPr>
        <w:pStyle w:val="ListParagraph"/>
        <w:numPr>
          <w:ilvl w:val="0"/>
          <w:numId w:val="1"/>
        </w:numPr>
        <w:rPr>
          <w:b/>
        </w:rPr>
      </w:pPr>
      <w:r>
        <w:rPr>
          <w:b/>
        </w:rPr>
        <w:t>Kryteria oceny, wagi…</w:t>
      </w:r>
    </w:p>
    <w:p>
      <w:pPr>
        <w:pStyle w:val="Normal"/>
        <w:rPr>
          <w:bCs/>
        </w:rPr>
      </w:pPr>
      <w:bookmarkStart w:id="0" w:name="_Hlk99877266"/>
      <w:bookmarkEnd w:id="0"/>
      <w:r>
        <w:rPr>
          <w:bCs/>
        </w:rPr>
        <w:t>Na ocenę końcową wpływ mają takie czynniki jak:</w:t>
      </w:r>
    </w:p>
    <w:p>
      <w:pPr>
        <w:pStyle w:val="Normal"/>
        <w:rPr>
          <w:bCs/>
        </w:rPr>
      </w:pPr>
      <w:r>
        <w:rPr>
          <w:bCs/>
        </w:rPr>
        <w:t>- aktywność w trakcie zajęć -10%</w:t>
      </w:r>
    </w:p>
    <w:p>
      <w:pPr>
        <w:pStyle w:val="Normal"/>
        <w:rPr>
          <w:bCs/>
        </w:rPr>
      </w:pPr>
      <w:r>
        <w:rPr>
          <w:bCs/>
        </w:rPr>
        <w:t>- przygotowanie do zajęć- 10%</w:t>
      </w:r>
    </w:p>
    <w:p>
      <w:pPr>
        <w:pStyle w:val="Normal"/>
        <w:rPr>
          <w:bCs/>
        </w:rPr>
      </w:pPr>
      <w:r>
        <w:rPr>
          <w:bCs/>
        </w:rPr>
        <w:t>-przygotowanie jedno z podejmowanych tematów w formie prezentacji, referatu -10%</w:t>
      </w:r>
    </w:p>
    <w:p>
      <w:pPr>
        <w:pStyle w:val="Normal"/>
        <w:rPr>
          <w:bCs/>
        </w:rPr>
      </w:pPr>
      <w:r>
        <w:rPr>
          <w:bCs/>
        </w:rPr>
        <w:t>-pozytywna ocena z zaliczenia końcowego – 70%</w:t>
      </w:r>
    </w:p>
    <w:p>
      <w:pPr>
        <w:pStyle w:val="Normal"/>
        <w:rPr>
          <w:b/>
        </w:rPr>
      </w:pPr>
      <w:r>
        <w:rPr>
          <w:b/>
        </w:rPr>
      </w:r>
    </w:p>
    <w:p>
      <w:pPr>
        <w:pStyle w:val="Normal"/>
        <w:rPr>
          <w:b/>
        </w:rPr>
      </w:pPr>
      <w:r>
        <w:rPr>
          <w:b/>
        </w:rPr>
      </w:r>
      <w:bookmarkStart w:id="1" w:name="_Hlk99877266"/>
      <w:bookmarkStart w:id="2" w:name="_Hlk99877266"/>
      <w:bookmarkEnd w:id="2"/>
    </w:p>
    <w:p>
      <w:pPr>
        <w:pStyle w:val="Normal"/>
        <w:rPr>
          <w:bCs/>
        </w:rPr>
      </w:pPr>
      <w:r>
        <w:rPr>
          <w:b/>
        </w:rPr>
        <w:t>VII.  Obciążenie pracą studenta</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8"/>
        <w:gridCol w:w="4523"/>
      </w:tblGrid>
      <w:tr>
        <w:trPr/>
        <w:tc>
          <w:tcPr>
            <w:tcW w:w="45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Forma aktywności studenta</w:t>
            </w:r>
          </w:p>
        </w:tc>
        <w:tc>
          <w:tcPr>
            <w:tcW w:w="4523"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Liczba godzin</w:t>
            </w:r>
          </w:p>
        </w:tc>
      </w:tr>
      <w:tr>
        <w:trPr/>
        <w:tc>
          <w:tcPr>
            <w:tcW w:w="45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Liczba godzin kontaktowych z nauczycielem </w:t>
            </w:r>
          </w:p>
          <w:p>
            <w:pPr>
              <w:pStyle w:val="Normal"/>
              <w:widowControl/>
              <w:spacing w:lineRule="auto" w:line="240" w:before="0" w:after="0"/>
              <w:jc w:val="left"/>
              <w:rPr>
                <w:i/>
                <w:i/>
                <w:sz w:val="18"/>
                <w:szCs w:val="18"/>
              </w:rPr>
            </w:pPr>
            <w:r>
              <w:rPr>
                <w:rFonts w:eastAsia="Calibri" w:cs=""/>
                <w:i/>
                <w:kern w:val="0"/>
                <w:sz w:val="18"/>
                <w:szCs w:val="18"/>
                <w:lang w:val="pl-PL" w:eastAsia="en-US" w:bidi="ar-SA"/>
              </w:rPr>
            </w:r>
          </w:p>
        </w:tc>
        <w:tc>
          <w:tcPr>
            <w:tcW w:w="4523" w:type="dxa"/>
            <w:tcBorders/>
          </w:tcPr>
          <w:p>
            <w:pPr>
              <w:pStyle w:val="Normal"/>
              <w:widowControl/>
              <w:spacing w:lineRule="auto" w:line="240" w:before="0" w:after="0"/>
              <w:jc w:val="left"/>
              <w:rPr>
                <w:bCs/>
              </w:rPr>
            </w:pPr>
            <w:r>
              <w:rPr>
                <w:rFonts w:eastAsia="Calibri" w:cs=""/>
                <w:bCs/>
                <w:kern w:val="0"/>
                <w:sz w:val="22"/>
                <w:szCs w:val="22"/>
                <w:lang w:val="pl-PL" w:eastAsia="en-US" w:bidi="ar-SA"/>
              </w:rPr>
              <w:t>15</w:t>
            </w:r>
          </w:p>
        </w:tc>
      </w:tr>
      <w:tr>
        <w:trPr/>
        <w:tc>
          <w:tcPr>
            <w:tcW w:w="4538"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Liczba godzin indywidualnej pracy studenta</w:t>
            </w:r>
          </w:p>
          <w:p>
            <w:pPr>
              <w:pStyle w:val="Normal"/>
              <w:widowControl/>
              <w:spacing w:lineRule="auto" w:line="240" w:before="0" w:after="0"/>
              <w:jc w:val="left"/>
              <w:rPr>
                <w:i/>
                <w:i/>
                <w:sz w:val="18"/>
                <w:szCs w:val="18"/>
              </w:rPr>
            </w:pPr>
            <w:r>
              <w:rPr>
                <w:rFonts w:eastAsia="Calibri" w:cs=""/>
                <w:i/>
                <w:kern w:val="0"/>
                <w:sz w:val="18"/>
                <w:szCs w:val="18"/>
                <w:lang w:val="pl-PL" w:eastAsia="en-US" w:bidi="ar-SA"/>
              </w:rPr>
            </w:r>
          </w:p>
        </w:tc>
        <w:tc>
          <w:tcPr>
            <w:tcW w:w="4523" w:type="dxa"/>
            <w:tcBorders/>
          </w:tcPr>
          <w:p>
            <w:pPr>
              <w:pStyle w:val="Normal"/>
              <w:widowControl/>
              <w:spacing w:lineRule="auto" w:line="240" w:before="0" w:after="0"/>
              <w:jc w:val="left"/>
              <w:rPr>
                <w:bCs/>
              </w:rPr>
            </w:pPr>
            <w:r>
              <w:rPr>
                <w:rFonts w:eastAsia="Calibri" w:cs=""/>
                <w:bCs/>
                <w:kern w:val="0"/>
                <w:sz w:val="22"/>
                <w:szCs w:val="22"/>
                <w:lang w:val="pl-PL" w:eastAsia="en-US" w:bidi="ar-SA"/>
              </w:rPr>
              <w:t>35</w:t>
            </w:r>
          </w:p>
        </w:tc>
      </w:tr>
    </w:tbl>
    <w:p>
      <w:pPr>
        <w:pStyle w:val="Normal"/>
        <w:spacing w:before="0" w:after="0"/>
        <w:rPr>
          <w:b/>
        </w:rPr>
      </w:pPr>
      <w:r>
        <w:rPr>
          <w:b/>
        </w:rPr>
      </w:r>
    </w:p>
    <w:p>
      <w:pPr>
        <w:pStyle w:val="ListParagraph"/>
        <w:numPr>
          <w:ilvl w:val="0"/>
          <w:numId w:val="1"/>
        </w:numPr>
        <w:rPr>
          <w:b/>
        </w:rPr>
      </w:pPr>
      <w:r>
        <w:rPr>
          <w:b/>
        </w:rPr>
        <w:t>Literatura</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Literatura podstawowa</w:t>
            </w:r>
          </w:p>
        </w:tc>
      </w:tr>
      <w:tr>
        <w:trPr/>
        <w:tc>
          <w:tcPr>
            <w:tcW w:w="906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S. Kowalkowski, </w:t>
            </w:r>
            <w:r>
              <w:rPr>
                <w:rFonts w:eastAsia="Calibri" w:cs=""/>
                <w:i/>
                <w:iCs/>
                <w:kern w:val="0"/>
                <w:sz w:val="22"/>
                <w:szCs w:val="22"/>
                <w:lang w:val="pl-PL" w:eastAsia="en-US" w:bidi="ar-SA"/>
              </w:rPr>
              <w:t>Niemilitarne zagrożenia bezpieczeństwa publicznego</w:t>
            </w:r>
            <w:r>
              <w:rPr>
                <w:rFonts w:eastAsia="Calibri" w:cs=""/>
                <w:kern w:val="0"/>
                <w:sz w:val="22"/>
                <w:szCs w:val="22"/>
                <w:lang w:val="pl-PL" w:eastAsia="en-US" w:bidi="ar-SA"/>
              </w:rPr>
              <w:t>, Warszawa 2011</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M. Borkowski, M. Stańczyk-Minkiewicz,I. Ziemkiewicz-Gawlik (red.), </w:t>
            </w:r>
            <w:r>
              <w:rPr>
                <w:rFonts w:eastAsia="Calibri" w:cs=""/>
                <w:i/>
                <w:iCs/>
                <w:kern w:val="0"/>
                <w:sz w:val="22"/>
                <w:szCs w:val="22"/>
                <w:lang w:val="pl-PL" w:eastAsia="en-US" w:bidi="ar-SA"/>
              </w:rPr>
              <w:t>Wyzwania i zagrożenia XXI wieku. Aspekty militarne i niemilitarne</w:t>
            </w:r>
            <w:r>
              <w:rPr>
                <w:rFonts w:eastAsia="Calibri" w:cs=""/>
                <w:kern w:val="0"/>
                <w:sz w:val="22"/>
                <w:szCs w:val="22"/>
                <w:lang w:val="pl-PL" w:eastAsia="en-US" w:bidi="ar-SA"/>
              </w:rPr>
              <w:t>, Poznań 2013</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M. Pietraś (red.), </w:t>
            </w:r>
            <w:r>
              <w:rPr>
                <w:rFonts w:eastAsia="Calibri" w:cs=""/>
                <w:i/>
                <w:iCs/>
                <w:kern w:val="0"/>
                <w:sz w:val="22"/>
                <w:szCs w:val="22"/>
                <w:lang w:val="pl-PL" w:eastAsia="en-US" w:bidi="ar-SA"/>
              </w:rPr>
              <w:t>Międzynarodowe stosunki polityczne</w:t>
            </w:r>
            <w:r>
              <w:rPr>
                <w:rFonts w:eastAsia="Calibri" w:cs=""/>
                <w:kern w:val="0"/>
                <w:sz w:val="22"/>
                <w:szCs w:val="22"/>
                <w:lang w:val="pl-PL" w:eastAsia="en-US" w:bidi="ar-SA"/>
              </w:rPr>
              <w:t xml:space="preserve">, Lublin 2021 </w:t>
            </w:r>
          </w:p>
        </w:tc>
      </w:tr>
      <w:tr>
        <w:trPr/>
        <w:tc>
          <w:tcPr>
            <w:tcW w:w="9062" w:type="dxa"/>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Literatura uzupełniająca</w:t>
            </w:r>
          </w:p>
        </w:tc>
      </w:tr>
      <w:tr>
        <w:trPr/>
        <w:tc>
          <w:tcPr>
            <w:tcW w:w="9062" w:type="dxa"/>
            <w:tcBorders/>
          </w:tcPr>
          <w:p>
            <w:pPr>
              <w:pStyle w:val="Normal"/>
              <w:widowControl/>
              <w:spacing w:lineRule="auto" w:line="240" w:before="0" w:after="0"/>
              <w:jc w:val="left"/>
              <w:rPr>
                <w:bCs/>
              </w:rPr>
            </w:pPr>
            <w:r>
              <w:rPr>
                <w:rFonts w:eastAsia="Calibri" w:cs=""/>
                <w:bCs/>
                <w:kern w:val="0"/>
                <w:sz w:val="22"/>
                <w:szCs w:val="22"/>
                <w:lang w:val="pl-PL" w:eastAsia="en-US" w:bidi="ar-SA"/>
              </w:rPr>
              <w:t xml:space="preserve">N. Lariusz (red.),  </w:t>
            </w:r>
            <w:r>
              <w:rPr>
                <w:rFonts w:eastAsia="Calibri" w:cs=""/>
                <w:bCs/>
                <w:i/>
                <w:iCs/>
                <w:kern w:val="0"/>
                <w:sz w:val="22"/>
                <w:szCs w:val="22"/>
                <w:lang w:val="pl-PL" w:eastAsia="en-US" w:bidi="ar-SA"/>
              </w:rPr>
              <w:t>Wyzwania i problemy społeczne  początku XXI wieku</w:t>
            </w:r>
            <w:r>
              <w:rPr>
                <w:rFonts w:eastAsia="Calibri" w:cs=""/>
                <w:bCs/>
                <w:kern w:val="0"/>
                <w:sz w:val="22"/>
                <w:szCs w:val="22"/>
                <w:lang w:val="pl-PL" w:eastAsia="en-US" w:bidi="ar-SA"/>
              </w:rPr>
              <w:t>, Kraków 2020</w:t>
            </w:r>
          </w:p>
          <w:p>
            <w:pPr>
              <w:pStyle w:val="Normal"/>
              <w:widowControl/>
              <w:spacing w:lineRule="auto" w:line="240" w:before="0" w:after="0"/>
              <w:jc w:val="left"/>
              <w:rPr>
                <w:bCs/>
              </w:rPr>
            </w:pPr>
            <w:r>
              <w:rPr>
                <w:rFonts w:eastAsia="Calibri" w:cs=""/>
                <w:bCs/>
                <w:kern w:val="0"/>
                <w:sz w:val="22"/>
                <w:szCs w:val="22"/>
                <w:lang w:val="pl-PL" w:eastAsia="en-US" w:bidi="ar-SA"/>
              </w:rPr>
              <w:t xml:space="preserve">A. Adamus-Matuszyńska, </w:t>
            </w:r>
            <w:r>
              <w:rPr>
                <w:rFonts w:eastAsia="Calibri" w:cs=""/>
                <w:bCs/>
                <w:i/>
                <w:iCs/>
                <w:kern w:val="0"/>
                <w:sz w:val="22"/>
                <w:szCs w:val="22"/>
                <w:lang w:val="pl-PL" w:eastAsia="en-US" w:bidi="ar-SA"/>
              </w:rPr>
              <w:t>Konflikt społeczny w świetle współczesnych teorii</w:t>
            </w:r>
            <w:r>
              <w:rPr>
                <w:rFonts w:eastAsia="Calibri" w:cs=""/>
                <w:bCs/>
                <w:kern w:val="0"/>
                <w:sz w:val="22"/>
                <w:szCs w:val="22"/>
                <w:lang w:val="pl-PL" w:eastAsia="en-US" w:bidi="ar-SA"/>
              </w:rPr>
              <w:t>, Katowice 2019</w:t>
            </w:r>
          </w:p>
          <w:p>
            <w:pPr>
              <w:pStyle w:val="Normal"/>
              <w:widowControl/>
              <w:spacing w:lineRule="auto" w:line="240" w:before="0" w:after="0"/>
              <w:jc w:val="left"/>
              <w:rPr>
                <w:bCs/>
              </w:rPr>
            </w:pPr>
            <w:r>
              <w:rPr>
                <w:rFonts w:eastAsia="Calibri" w:cs=""/>
                <w:bCs/>
                <w:kern w:val="0"/>
                <w:sz w:val="22"/>
                <w:szCs w:val="22"/>
                <w:lang w:val="pl-PL" w:eastAsia="en-US" w:bidi="ar-SA"/>
              </w:rPr>
              <w:t xml:space="preserve">R. Zięba, </w:t>
            </w:r>
            <w:r>
              <w:rPr>
                <w:rFonts w:eastAsia="Calibri" w:cs=""/>
                <w:bCs/>
                <w:i/>
                <w:iCs/>
                <w:kern w:val="0"/>
                <w:sz w:val="22"/>
                <w:szCs w:val="22"/>
                <w:lang w:val="pl-PL" w:eastAsia="en-US" w:bidi="ar-SA"/>
              </w:rPr>
              <w:t>Współczesne wyzwania i zagrożenia dla bezpieczeństwa międzynarodowego</w:t>
            </w:r>
            <w:r>
              <w:rPr>
                <w:rFonts w:eastAsia="Calibri" w:cs=""/>
                <w:bCs/>
                <w:kern w:val="0"/>
                <w:sz w:val="22"/>
                <w:szCs w:val="22"/>
                <w:lang w:val="pl-PL" w:eastAsia="en-US" w:bidi="ar-SA"/>
              </w:rPr>
              <w:t xml:space="preserve">, „Stosunki Międzynarodowe – International Relations” 2016, nr 3 (t. 52) </w:t>
            </w:r>
          </w:p>
          <w:p>
            <w:pPr>
              <w:pStyle w:val="Normal"/>
              <w:widowControl/>
              <w:spacing w:lineRule="auto" w:line="240" w:before="0" w:after="0"/>
              <w:jc w:val="left"/>
              <w:rPr>
                <w:bCs/>
              </w:rPr>
            </w:pPr>
            <w:r>
              <w:rPr>
                <w:rFonts w:eastAsia="Calibri" w:cs=""/>
                <w:bCs/>
                <w:kern w:val="0"/>
                <w:sz w:val="22"/>
                <w:szCs w:val="22"/>
                <w:lang w:val="pl-PL" w:eastAsia="en-US" w:bidi="ar-SA"/>
              </w:rPr>
            </w:r>
          </w:p>
        </w:tc>
      </w:tr>
    </w:tbl>
    <w:p>
      <w:pPr>
        <w:pStyle w:val="Normal"/>
        <w:spacing w:before="0" w:after="0"/>
        <w:rPr>
          <w:b/>
        </w:rPr>
      </w:pPr>
      <w:r>
        <w:rPr>
          <w:b/>
        </w:rPr>
      </w:r>
    </w:p>
    <w:p>
      <w:pPr>
        <w:pStyle w:val="Normal"/>
        <w:widowControl/>
        <w:bidi w:val="0"/>
        <w:spacing w:lineRule="auto" w:line="276" w:before="0" w:after="200"/>
        <w:jc w:val="left"/>
        <w:rPr/>
      </w:pPr>
      <w:r>
        <w:rPr/>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i/>
        <w:i/>
      </w:rPr>
    </w:pPr>
    <w:r>
      <w:rPr>
        <w:i/>
      </w:rPr>
      <w:t>Załącznik nr 5 do dokumentacji programowej</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sz w:val="22"/>
        <w:b/>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abulatory" w:customStyle="1">
    <w:name w:val="tabulatory"/>
    <w:basedOn w:val="DefaultParagraphFont"/>
    <w:qFormat/>
    <w:rsid w:val="00d406f6"/>
    <w:rPr/>
  </w:style>
  <w:style w:type="character" w:styleId="Czeinternetowe">
    <w:name w:val="Hyperlink"/>
    <w:basedOn w:val="DefaultParagraphFont"/>
    <w:uiPriority w:val="99"/>
    <w:unhideWhenUsed/>
    <w:rsid w:val="00d406f6"/>
    <w:rPr>
      <w:color w:val="0000FF"/>
      <w:u w:val="single"/>
    </w:rPr>
  </w:style>
  <w:style w:type="character" w:styleId="Access" w:customStyle="1">
    <w:name w:val="access"/>
    <w:basedOn w:val="DefaultParagraphFont"/>
    <w:qFormat/>
    <w:rsid w:val="003c65da"/>
    <w:rPr/>
  </w:style>
  <w:style w:type="character" w:styleId="Luchili" w:customStyle="1">
    <w:name w:val="luc_hili"/>
    <w:basedOn w:val="DefaultParagraphFont"/>
    <w:qFormat/>
    <w:rsid w:val="001a5d37"/>
    <w:rPr/>
  </w:style>
  <w:style w:type="character" w:styleId="NagwekZnak" w:customStyle="1">
    <w:name w:val="Nagłówek Znak"/>
    <w:basedOn w:val="DefaultParagraphFont"/>
    <w:uiPriority w:val="99"/>
    <w:qFormat/>
    <w:rsid w:val="00b04272"/>
    <w:rPr/>
  </w:style>
  <w:style w:type="character" w:styleId="StopkaZnak" w:customStyle="1">
    <w:name w:val="Stopka Znak"/>
    <w:basedOn w:val="DefaultParagraphFont"/>
    <w:uiPriority w:val="99"/>
    <w:qFormat/>
    <w:rsid w:val="00b04272"/>
    <w:rPr/>
  </w:style>
  <w:style w:type="character" w:styleId="TekstdymkaZnak" w:customStyle="1">
    <w:name w:val="Tekst dymka Znak"/>
    <w:basedOn w:val="DefaultParagraphFont"/>
    <w:link w:val="BalloonText"/>
    <w:uiPriority w:val="99"/>
    <w:semiHidden/>
    <w:qFormat/>
    <w:rsid w:val="00b04272"/>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estern" w:customStyle="1">
    <w:name w:val="western"/>
    <w:basedOn w:val="Normal"/>
    <w:qFormat/>
    <w:rsid w:val="007d0038"/>
    <w:pPr>
      <w:spacing w:lineRule="atLeast" w:line="102" w:beforeAutospacing="1" w:after="119"/>
    </w:pPr>
    <w:rPr>
      <w:rFonts w:ascii="Times New Roman" w:hAnsi="Times New Roman" w:eastAsia="Times New Roman" w:cs="Times New Roman"/>
      <w:color w:val="000000"/>
      <w:sz w:val="24"/>
      <w:szCs w:val="24"/>
      <w:lang w:eastAsia="pl-PL"/>
    </w:rPr>
  </w:style>
  <w:style w:type="paragraph" w:styleId="ListParagraph">
    <w:name w:val="List Paragraph"/>
    <w:basedOn w:val="Normal"/>
    <w:uiPriority w:val="34"/>
    <w:qFormat/>
    <w:rsid w:val="007d0038"/>
    <w:pPr>
      <w:spacing w:before="0" w:after="200"/>
      <w:ind w:left="720" w:hanging="0"/>
      <w:contextualSpacing/>
    </w:pPr>
    <w:rPr/>
  </w:style>
  <w:style w:type="paragraph" w:styleId="NormalWeb">
    <w:name w:val="Normal (Web)"/>
    <w:basedOn w:val="Normal"/>
    <w:uiPriority w:val="99"/>
    <w:semiHidden/>
    <w:unhideWhenUsed/>
    <w:qFormat/>
    <w:rsid w:val="00d27ddc"/>
    <w:pPr>
      <w:spacing w:lineRule="auto" w:line="240" w:beforeAutospacing="1" w:after="119"/>
    </w:pPr>
    <w:rPr>
      <w:rFonts w:ascii="Times New Roman" w:hAnsi="Times New Roman" w:eastAsia="Times New Roman" w:cs="Times New Roman"/>
      <w:sz w:val="24"/>
      <w:szCs w:val="24"/>
      <w:lang w:eastAsia="pl-PL"/>
    </w:rPr>
  </w:style>
  <w:style w:type="paragraph" w:styleId="Default" w:customStyle="1">
    <w:name w:val="Default"/>
    <w:qFormat/>
    <w:rsid w:val="007841b3"/>
    <w:pPr>
      <w:widowControl/>
      <w:bidi w:val="0"/>
      <w:spacing w:lineRule="auto" w:line="240" w:before="0" w:after="0"/>
      <w:jc w:val="left"/>
    </w:pPr>
    <w:rPr>
      <w:rFonts w:ascii="Arial" w:hAnsi="Arial" w:cs="Arial" w:eastAsia="Calibri"/>
      <w:color w:val="000000"/>
      <w:kern w:val="0"/>
      <w:sz w:val="24"/>
      <w:szCs w:val="24"/>
      <w:lang w:val="pl-PL" w:eastAsia="en-US" w:bidi="ar-SA"/>
    </w:rPr>
  </w:style>
  <w:style w:type="paragraph" w:styleId="Gwkaistopka">
    <w:name w:val="Główka i stopka"/>
    <w:basedOn w:val="Normal"/>
    <w:qFormat/>
    <w:pPr/>
    <w:rPr/>
  </w:style>
  <w:style w:type="paragraph" w:styleId="Gwka">
    <w:name w:val="Header"/>
    <w:basedOn w:val="Normal"/>
    <w:link w:val="NagwekZnak"/>
    <w:uiPriority w:val="99"/>
    <w:unhideWhenUsed/>
    <w:rsid w:val="00b04272"/>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04272"/>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0427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2e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08FC-B160-451F-B03B-2D1BDE50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LibreOffice/7.5.6.2$Windows_X86_64 LibreOffice_project/f654817fb68d6d4600d7d2f6b647e47729f55f15</Application>
  <AppVersion>15.0000</AppVersion>
  <Pages>5</Pages>
  <Words>606</Words>
  <Characters>4611</Characters>
  <CharactersWithSpaces>5094</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2024-12-01T08:21:00Z</dcterms:created>
  <dc:creator>Anna Łukasiewicz</dc:creator>
  <dc:description/>
  <dc:language>pl-PL</dc:language>
  <cp:lastModifiedBy>Grzegorz Tutak</cp:lastModifiedBy>
  <cp:lastPrinted>2019-01-23T11:10:00Z</cp:lastPrinted>
  <dcterms:modified xsi:type="dcterms:W3CDTF">2024-12-01T08:21:00Z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