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120"/>
        <w:rPr>
          <w:b/>
        </w:rPr>
      </w:pPr>
      <w:r>
        <w:rPr>
          <w:b/>
        </w:rPr>
        <w:t xml:space="preserve">KARTA PRZEDMIOTU </w:t>
      </w:r>
    </w:p>
    <w:p>
      <w:pPr>
        <w:pStyle w:val="Normal"/>
        <w:spacing w:before="0" w:after="120"/>
        <w:rPr/>
      </w:pPr>
      <w:r>
        <w:rPr/>
        <w:t>Cykl kształcenia od roku akademickiego: 2023/2024 i 2024/2025 (zajęcia dla dwóch roczników)</w:t>
      </w:r>
    </w:p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Dane podstawowe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regionalne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Nazwa przedmiotu w języku angielskim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  <w:t>Regional Security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Kierunek studiów 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Bezpieczeństwo narodowe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Poziom studiów (I, II, jednolite magisterskie)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studiów (stacjonarne, niestacjonarne)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stacjonarne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Dyscyplina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nauki o polityce i administracji</w:t>
            </w:r>
          </w:p>
        </w:tc>
      </w:tr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Język wykładowy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polski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0"/>
        <w:gridCol w:w="4531"/>
      </w:tblGrid>
      <w:tr>
        <w:trPr/>
        <w:tc>
          <w:tcPr>
            <w:tcW w:w="453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Koordynator przedmiotu</w:t>
            </w:r>
          </w:p>
        </w:tc>
        <w:tc>
          <w:tcPr>
            <w:tcW w:w="453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dr hab. Marcin Kosienkowski. prof. KUL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85"/>
        <w:gridCol w:w="2257"/>
        <w:gridCol w:w="2261"/>
        <w:gridCol w:w="2258"/>
      </w:tblGrid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Forma zajęć </w:t>
            </w:r>
            <w:r>
              <w:rPr>
                <w:rFonts w:eastAsia="Calibri" w:cs=""/>
                <w:i/>
                <w:kern w:val="0"/>
                <w:sz w:val="22"/>
                <w:szCs w:val="22"/>
                <w:lang w:val="pl-PL" w:eastAsia="en-US" w:bidi="ar-SA"/>
              </w:rPr>
              <w:t>(katalog zamknięty ze słownika)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semestr</w:t>
            </w:r>
          </w:p>
        </w:tc>
        <w:tc>
          <w:tcPr>
            <w:tcW w:w="225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Punkty ECTS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wykład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restart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8</w:t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konwersatorium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ćwiczenia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laboratorium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warsztaty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I-</w:t>
            </w: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IV</w:t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proseminarium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lektorat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praktyki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zajęcia terenowe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pracownia dyplomowa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translatorium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2285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wizyta studyjna</w:t>
            </w:r>
          </w:p>
        </w:tc>
        <w:tc>
          <w:tcPr>
            <w:tcW w:w="22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258" w:type="dxa"/>
            <w:vMerge w:val="continue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211"/>
        <w:gridCol w:w="6850"/>
      </w:tblGrid>
      <w:tr>
        <w:trPr/>
        <w:tc>
          <w:tcPr>
            <w:tcW w:w="221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Wymagania wstępne</w:t>
            </w:r>
          </w:p>
        </w:tc>
        <w:tc>
          <w:tcPr>
            <w:tcW w:w="685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W1 - Podstawowa wiedza w zakresie bezpieczeństwa międzynarodowego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Cele kształcenia dla przedmiotu 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C1 – Zapoznanie studentów z problemem bezpieczeństwa regionalnego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C2 – Przedstawienie zagrożeń dla bezpieczeństwa regionalnego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C3 – Zaznajomienie słuchaczy z działaniami na rzecz bezpieczeństwa regionalnego</w:t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before="0" w:after="0"/>
        <w:rPr/>
      </w:pPr>
      <w:r>
        <w:rPr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Efekty uczenia się dla przedmiotu wraz z odniesieniem do efektów kierunkowych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2"/>
        <w:gridCol w:w="5832"/>
        <w:gridCol w:w="2138"/>
      </w:tblGrid>
      <w:tr>
        <w:trPr/>
        <w:tc>
          <w:tcPr>
            <w:tcW w:w="10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</w:t>
            </w:r>
          </w:p>
        </w:tc>
        <w:tc>
          <w:tcPr>
            <w:tcW w:w="583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Opis efektu przedmiotowego</w:t>
            </w:r>
          </w:p>
        </w:tc>
        <w:tc>
          <w:tcPr>
            <w:tcW w:w="2138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Odniesienie do efektu kierunkowego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Zna interdyscyplinarny charakter wiedzy z dziedziny nauk społecznych oraz powiązanych z nią dziedzin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Rozumie znaczenie praw własności intelektualnej oraz wynikających z tego konsekwencji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K_W07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analizować, diagnozować, prognozować problemy odnoszące się do bezpieczeństwa regionalnego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sprawnie budować strategie działań dotyczących bezpieczeństwa w wymiarze regionalnym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wykorzystywać pogłębioną wiedzę teoretyczną w rozwiązywaniu problemów związanych z bezpieczeństwem regionalnym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K_U03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identyfikować zagrożenia dla bezpieczeństwa regionalnego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K_U04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przygotować w sposób profesjonalny wystąpienia w języku polskim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K_U05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U_06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sprawnie pozyskiwać, przechowywać oraz przetwarzać informacje z wykorzystaniem nowoczesnych technologii informacyjnych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K_U06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U_07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samodzielnie zdobywać i doskonalić wiedzę i umiejętności z dziedziny nauk społecznych, w tym bezpieczeństwa regionalnego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K_U08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U_08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Potrafi w sposób zwięzły, zrozumiały i krytyczny komunikować się z użyciem specjalistycznej terminologii oraz prowadzić debatę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K_U09</w:t>
            </w:r>
          </w:p>
        </w:tc>
      </w:tr>
      <w:tr>
        <w:trPr/>
        <w:tc>
          <w:tcPr>
            <w:tcW w:w="9062" w:type="dxa"/>
            <w:gridSpan w:val="3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przestrzegania zasad etyki zawodowej oraz ich stosowania w działaniach mających na celu zapewnienia najwyższych standardów bezpieczeństwa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K_K01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myślenia i działania w sposób prospołeczny i przedsiębiorczy, w tym zarządzania ryzykiem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K_K02</w:t>
            </w:r>
          </w:p>
        </w:tc>
      </w:tr>
      <w:tr>
        <w:trPr/>
        <w:tc>
          <w:tcPr>
            <w:tcW w:w="109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K_03</w:t>
            </w:r>
          </w:p>
        </w:tc>
        <w:tc>
          <w:tcPr>
            <w:tcW w:w="583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Jest gotów do dokonania oceny i samooceny wiedzy oraz umiejętności we wskazanym zakresie</w:t>
            </w:r>
          </w:p>
        </w:tc>
        <w:tc>
          <w:tcPr>
            <w:tcW w:w="21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K_K03</w:t>
            </w:r>
          </w:p>
        </w:tc>
      </w:tr>
    </w:tbl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Opis przedmiotu/ treści programowe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1. Omówienie zasad pisania pracy dyplomowej.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2. Wybór tematu.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3. Dyskusja nad strukturą pracy i metodami badań.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4. Budowa bibliografii, prezentacja gotowych fragmentów pracy. 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5. Wprowadzenie do tematyki bezpieczeństwa regionalnego.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Cs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6. Zagrożenia dla bezpieczeństwa regionalnego.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360" w:leader="none"/>
                <w:tab w:val="left" w:pos="840" w:leader="none"/>
              </w:tabs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>7. Działania na rzecz bezpieczeństwa regionalnego.</w:t>
            </w:r>
          </w:p>
        </w:tc>
      </w:tr>
    </w:tbl>
    <w:p>
      <w:pPr>
        <w:pStyle w:val="Normal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Metody realizacji i weryfikacji efektów uczenia się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91"/>
        <w:gridCol w:w="2657"/>
        <w:gridCol w:w="2773"/>
        <w:gridCol w:w="2540"/>
      </w:tblGrid>
      <w:tr>
        <w:trPr/>
        <w:tc>
          <w:tcPr>
            <w:tcW w:w="109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Symbol efektu</w:t>
            </w:r>
          </w:p>
        </w:tc>
        <w:tc>
          <w:tcPr>
            <w:tcW w:w="2657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dydaktyczne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773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Metody weryfikacji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  <w:tc>
          <w:tcPr>
            <w:tcW w:w="2540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Sposoby dokumentacji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i/>
                <w:kern w:val="0"/>
                <w:sz w:val="18"/>
                <w:szCs w:val="18"/>
                <w:lang w:val="pl-PL" w:eastAsia="en-US" w:bidi="ar-SA"/>
              </w:rPr>
              <w:t>(lista wyboru)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WIEDZA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W_02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UMIEJĘTNOŚCI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U_03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U_04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U_05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Protokół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U_06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U_07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U_08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9061" w:type="dxa"/>
            <w:gridSpan w:val="4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KOMPETENCJE SPOŁECZNE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K_01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K_02</w:t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Dyskusja/ Praca badawcza pod kierunkiem</w:t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pisemna</w:t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Praca magisterska</w:t>
            </w:r>
          </w:p>
        </w:tc>
      </w:tr>
      <w:tr>
        <w:trPr/>
        <w:tc>
          <w:tcPr>
            <w:tcW w:w="109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657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77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540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rPr/>
      </w:pPr>
      <w:r>
        <w:rPr/>
      </w:r>
    </w:p>
    <w:p>
      <w:pPr>
        <w:pStyle w:val="ListParagraph"/>
        <w:ind w:left="1080" w:hanging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Kryteria oceny, wagi…</w:t>
      </w:r>
    </w:p>
    <w:p>
      <w:pPr>
        <w:pStyle w:val="Normal"/>
        <w:rPr>
          <w:bCs/>
        </w:rPr>
      </w:pPr>
      <w:r>
        <w:rPr>
          <w:bCs/>
        </w:rPr>
        <w:t>Zaliczenie seminarium jest możliwe po spełnieniu wymagań podanych przez prowadzącego i złożeniu przez studenta wniosku o zatwierdzenie tematu pracy dyplomowej w terminie wymaganym przez regulamin studiów i zapisy przyjęte na Wydziale.</w:t>
      </w:r>
    </w:p>
    <w:p>
      <w:pPr>
        <w:pStyle w:val="Normal"/>
        <w:rPr>
          <w:b/>
        </w:rPr>
      </w:pPr>
      <w:r>
        <w:rPr>
          <w:b/>
        </w:rPr>
      </w:r>
      <w:r>
        <w:br w:type="page"/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Obciążenie pracą studenta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38"/>
        <w:gridCol w:w="4523"/>
      </w:tblGrid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Forma aktywności studenta</w:t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 xml:space="preserve">Liczba godzin kontaktowych z nauczycielem 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  <w:tr>
        <w:trPr/>
        <w:tc>
          <w:tcPr>
            <w:tcW w:w="4538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Liczba godzin indywidualnej pracy studenta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  <w:tc>
          <w:tcPr>
            <w:tcW w:w="4523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</w:rPr>
            </w:pPr>
            <w:r>
              <w:rPr>
                <w:rFonts w:eastAsia="Calibri" w:cs=""/>
                <w:b/>
                <w:kern w:val="0"/>
                <w:sz w:val="22"/>
                <w:szCs w:val="22"/>
                <w:lang w:val="pl-PL" w:eastAsia="en-US" w:bidi="ar-SA"/>
              </w:rPr>
              <w:t>30</w:t>
            </w:r>
          </w:p>
        </w:tc>
      </w:tr>
    </w:tbl>
    <w:p>
      <w:pPr>
        <w:pStyle w:val="Normal"/>
        <w:spacing w:before="0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Literatura</w:t>
      </w:r>
    </w:p>
    <w:tbl>
      <w:tblPr>
        <w:tblStyle w:val="Tabela-Siatka"/>
        <w:tblW w:w="906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2"/>
      </w:tblGrid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podstawowa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1. Bezpieczeństwo regionalne: węzłowe problemy i procesy, red. P. Bajor, Kraków 2021.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2. Kosienkowski M., Współpraca społeczności międzynarodowej z państwami de facto. Studium przypadków, Lublin 2018.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3. Kuźniar R. et al., Bezpieczeństwo międzynarodowe, Warszawa 2020.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4. Wojciechowski S., Nacjonalizm w Europie Środkowo-Wschodniej, Wrocław 2000.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5. Zalewski J., Znaczenie geokulturowych zmian dla bezpieczeństwa regionalnego i globalnego, Warszawa 2019.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Calibri" w:hAnsi="Calibri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  <w:t>Literatura uzupełniająca</w:t>
            </w:r>
          </w:p>
        </w:tc>
      </w:tr>
      <w:tr>
        <w:trPr/>
        <w:tc>
          <w:tcPr>
            <w:tcW w:w="9062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Cs/>
                <w:lang w:val="en-US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pl-PL" w:eastAsia="en-US" w:bidi="ar-SA"/>
              </w:rPr>
              <w:t xml:space="preserve">1. Kosienkowski M., Naddniestrzańska Republika Mołdawska. </w:t>
            </w:r>
            <w:r>
              <w:rPr>
                <w:rFonts w:eastAsia="Calibri" w:cs=""/>
                <w:bCs/>
                <w:kern w:val="0"/>
                <w:sz w:val="22"/>
                <w:szCs w:val="22"/>
                <w:lang w:val="en-US" w:eastAsia="en-US" w:bidi="ar-SA"/>
              </w:rPr>
              <w:t>Determinanty przetrwania, Toruń 2010.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b/>
                <w:lang w:val="en-US"/>
              </w:rPr>
            </w:pPr>
            <w:r>
              <w:rPr>
                <w:rFonts w:eastAsia="Calibri" w:cs=""/>
                <w:bCs/>
                <w:kern w:val="0"/>
                <w:sz w:val="22"/>
                <w:szCs w:val="22"/>
                <w:lang w:val="en-US" w:eastAsia="en-US" w:bidi="ar-SA"/>
              </w:rPr>
              <w:t>2. Kosienkowski M., Continuity and Change in Transnistria’s Foreign Policy after the 2011 Presidential Elections, Lublin 2012.</w:t>
            </w:r>
          </w:p>
        </w:tc>
      </w:tr>
    </w:tbl>
    <w:p>
      <w:pPr>
        <w:pStyle w:val="Normal"/>
        <w:spacing w:before="0" w:after="0"/>
        <w:rPr>
          <w:b/>
          <w:lang w:val="en-US"/>
        </w:rPr>
      </w:pPr>
      <w:r>
        <w:rPr>
          <w:b/>
          <w:lang w:val="en-US"/>
        </w:rPr>
      </w:r>
    </w:p>
    <w:p>
      <w:pPr>
        <w:pStyle w:val="Normal"/>
        <w:spacing w:before="0" w:after="200"/>
        <w:rPr>
          <w:lang w:val="en-US"/>
        </w:rPr>
      </w:pPr>
      <w:r>
        <w:rPr>
          <w:lang w:val="en-US"/>
        </w:rPr>
      </w:r>
    </w:p>
    <w:sectPr>
      <w:headerReference w:type="default" r:id="rId2"/>
      <w:type w:val="nextPage"/>
      <w:pgSz w:w="11906" w:h="16838"/>
      <w:pgMar w:left="1417" w:right="1417" w:gutter="0" w:header="708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jc w:val="right"/>
      <w:rPr>
        <w:i/>
        <w:i/>
      </w:rPr>
    </w:pPr>
    <w:r>
      <w:rPr>
        <w:i/>
      </w:rPr>
      <w:t>Załącznik nr 5</w:t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abulatory" w:customStyle="1">
    <w:name w:val="tabulatory"/>
    <w:basedOn w:val="DefaultParagraphFont"/>
    <w:qFormat/>
    <w:rsid w:val="00d406f6"/>
    <w:rPr/>
  </w:style>
  <w:style w:type="character" w:styleId="Czeinternetowe">
    <w:name w:val="Hyperlink"/>
    <w:basedOn w:val="DefaultParagraphFont"/>
    <w:uiPriority w:val="99"/>
    <w:unhideWhenUsed/>
    <w:rsid w:val="00d406f6"/>
    <w:rPr>
      <w:color w:val="0000FF"/>
      <w:u w:val="single"/>
    </w:rPr>
  </w:style>
  <w:style w:type="character" w:styleId="Access" w:customStyle="1">
    <w:name w:val="access"/>
    <w:basedOn w:val="DefaultParagraphFont"/>
    <w:qFormat/>
    <w:rsid w:val="003c65da"/>
    <w:rPr/>
  </w:style>
  <w:style w:type="character" w:styleId="Luchili" w:customStyle="1">
    <w:name w:val="luc_hili"/>
    <w:basedOn w:val="DefaultParagraphFont"/>
    <w:qFormat/>
    <w:rsid w:val="001a5d37"/>
    <w:rPr/>
  </w:style>
  <w:style w:type="character" w:styleId="NagwekZnak" w:customStyle="1">
    <w:name w:val="Nagłówek Znak"/>
    <w:basedOn w:val="DefaultParagraphFont"/>
    <w:uiPriority w:val="99"/>
    <w:qFormat/>
    <w:rsid w:val="00b04272"/>
    <w:rPr/>
  </w:style>
  <w:style w:type="character" w:styleId="StopkaZnak" w:customStyle="1">
    <w:name w:val="Stopka Znak"/>
    <w:basedOn w:val="DefaultParagraphFont"/>
    <w:uiPriority w:val="99"/>
    <w:qFormat/>
    <w:rsid w:val="00b04272"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04272"/>
    <w:rPr>
      <w:rFonts w:ascii="Tahoma" w:hAnsi="Tahoma" w:cs="Tahoma"/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Western" w:customStyle="1">
    <w:name w:val="western"/>
    <w:basedOn w:val="Normal"/>
    <w:qFormat/>
    <w:rsid w:val="007d0038"/>
    <w:pPr>
      <w:spacing w:lineRule="atLeast" w:line="102" w:beforeAutospacing="1" w:after="119"/>
    </w:pPr>
    <w:rPr>
      <w:rFonts w:ascii="Times New Roman" w:hAnsi="Times New Roman" w:eastAsia="Times New Roman" w:cs="Times New Roman"/>
      <w:color w:val="000000"/>
      <w:sz w:val="24"/>
      <w:szCs w:val="24"/>
      <w:lang w:eastAsia="pl-PL"/>
    </w:rPr>
  </w:style>
  <w:style w:type="paragraph" w:styleId="ListParagraph">
    <w:name w:val="List Paragraph"/>
    <w:basedOn w:val="Normal"/>
    <w:uiPriority w:val="34"/>
    <w:qFormat/>
    <w:rsid w:val="007d0038"/>
    <w:pPr>
      <w:spacing w:before="0" w:after="200"/>
      <w:ind w:left="720" w:hanging="0"/>
      <w:contextualSpacing/>
    </w:pPr>
    <w:rPr/>
  </w:style>
  <w:style w:type="paragraph" w:styleId="NormalWeb">
    <w:name w:val="Normal (Web)"/>
    <w:basedOn w:val="Normal"/>
    <w:uiPriority w:val="99"/>
    <w:semiHidden/>
    <w:unhideWhenUsed/>
    <w:qFormat/>
    <w:rsid w:val="00d27ddc"/>
    <w:pPr>
      <w:spacing w:lineRule="auto" w:line="240" w:beforeAutospacing="1" w:after="119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paragraph" w:styleId="Default" w:customStyle="1">
    <w:name w:val="Default"/>
    <w:qFormat/>
    <w:rsid w:val="007841b3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l-PL" w:eastAsia="en-US" w:bidi="ar-SA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b04272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0427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32e45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78502E-9938-4406-B67D-292D35BC9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Application>LibreOffice/7.5.6.2$Windows_X86_64 LibreOffice_project/f654817fb68d6d4600d7d2f6b647e47729f55f15</Application>
  <AppVersion>15.0000</AppVersion>
  <Pages>4</Pages>
  <Words>678</Words>
  <Characters>4775</Characters>
  <CharactersWithSpaces>5276</CharactersWithSpaces>
  <Paragraphs>178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2022-11-13T16:50:00Z</dcterms:created>
  <dc:creator>Anna Łukasiewicz</dc:creator>
  <dc:description/>
  <dc:language>pl-PL</dc:language>
  <cp:lastModifiedBy/>
  <cp:lastPrinted>2019-01-23T11:10:00Z</cp:lastPrinted>
  <dcterms:modified xsi:type="dcterms:W3CDTF">2024-11-18T16:28:09Z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