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Dane podstawowe</w:t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44"/>
        <w:gridCol w:w="4646"/>
      </w:tblGrid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Nazwa przedmiotu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Pozamilitarne przygotowanie obronne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Nazwa przedmiotu w języku angielskim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Non-military defense preparation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Kierunek studiów 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Poziom studiów (I, II, jednolite magisterskie)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II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Forma studiów (stacjonarne, niestacjonarne)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Stacjonarne 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Dyscyplina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Nauki społeczne</w:t>
            </w:r>
          </w:p>
        </w:tc>
      </w:tr>
      <w:tr>
        <w:trPr/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Język wykładowy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polski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47"/>
        <w:gridCol w:w="4643"/>
      </w:tblGrid>
      <w:tr>
        <w:trPr/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Koordynator przedmiotu/osoba odpowiedzialna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Dr Damian Szeleszczuk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83"/>
        <w:gridCol w:w="2259"/>
        <w:gridCol w:w="2261"/>
        <w:gridCol w:w="2387"/>
      </w:tblGrid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semestr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wykład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I</w:t>
            </w:r>
            <w:r>
              <w:rPr/>
              <w:t xml:space="preserve"> semestr (zimowy)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konwersatorium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ćwiczenia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laboratorium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warsztaty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seminarium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proseminarium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lektorat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praktyki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zajęcia terenowe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pracownia dyplomowa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translatorium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wizyta studyjna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2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15"/>
        <w:gridCol w:w="6975"/>
      </w:tblGrid>
      <w:tr>
        <w:trPr/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Wymagania wstępne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Posiadanie podstawowej wiedzy z zakresu prawa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 xml:space="preserve">Cele kształcenia dla przedmiotu </w:t>
      </w:r>
    </w:p>
    <w:tbl>
      <w:tblPr>
        <w:tblW w:w="9192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92"/>
      </w:tblGrid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Poznanie miejsca pozamilitarnego przygotowania obronnego w systemie obronnym państwa</w:t>
            </w:r>
          </w:p>
        </w:tc>
      </w:tr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Przedstawienie podstaw prawnych pozamilitarnego przygotowania obronnego</w:t>
            </w:r>
          </w:p>
        </w:tc>
      </w:tr>
      <w:tr>
        <w:trPr/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Wyrobienie umiejętności analizy potrzeb w zakresie pozamilitarnego przygotowania obronnego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Efekty uczenia się dla przedmiotu wraz z odniesieniem do efektów kierunkowych</w:t>
      </w:r>
    </w:p>
    <w:tbl>
      <w:tblPr>
        <w:tblW w:w="9192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3"/>
        <w:gridCol w:w="5831"/>
        <w:gridCol w:w="2268"/>
      </w:tblGrid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Symbol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W_01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Zna i rozumie specyfikę systemu pozamilitarnego przygotowania obronnego w systemie obronnym państwa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K_W01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W_02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Posiada wiedzę z zakresu elementów i zasad pozamilitarnego  przygotowania obronnego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K_W03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W_03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Ma wiedzę na temat instytucji koordynacji i kontroli pozamilitarnego przygotowania obronnego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K_W04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U_01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Potrafi prawidłowo interpretować przepisy prawne dotyczące pozamilitarnego przygotowania obronnego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K_U04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U_02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Potrafi samodzielnie zdobywać i doskonalić wiedzę i umiejętności o specyfice pozamilitarnego przygotowania obronnego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K_U09</w:t>
            </w:r>
          </w:p>
        </w:tc>
      </w:tr>
      <w:tr>
        <w:trPr/>
        <w:tc>
          <w:tcPr>
            <w:tcW w:w="9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K_01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Jest przygotowany do wykorzystywania wiedzy z zakresu pozamilitarnego przygotowania obronnego do rozwiązywania problemów społecznych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K_K01</w:t>
            </w:r>
          </w:p>
        </w:tc>
      </w:tr>
      <w:tr>
        <w:trPr/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K_02</w:t>
            </w:r>
          </w:p>
        </w:tc>
        <w:tc>
          <w:tcPr>
            <w:tcW w:w="583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Zauważa konieczność wyrabiania umiejętności ciągłego kształcenia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K_K02</w:t>
            </w:r>
          </w:p>
        </w:tc>
      </w:tr>
    </w:tbl>
    <w:p>
      <w:pPr>
        <w:pStyle w:val="Akapitzlist1"/>
        <w:ind w:left="1080" w:hanging="0"/>
        <w:rPr>
          <w:b/>
        </w:rPr>
      </w:pPr>
      <w:r>
        <w:rPr>
          <w:b/>
        </w:rPr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Opis przedmiotu/ treści programowe</w:t>
      </w:r>
    </w:p>
    <w:tbl>
      <w:tblPr>
        <w:tblW w:w="9192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92"/>
      </w:tblGrid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 xml:space="preserve">Miejsce pozamilitarnego przygotowania obronnego w systemie obronnym państwa. Gotowość obronna państwa.  Znaczenie pozamilitarnego przygotowania obronnego. Zadania pozamilitarne w zakresie przygotowania dróg i obiektów na wypadek obrony. Koordynacja i kontrola zadań obronnych. Obiekty szczególnie ważne dla bezpieczeństwa i obronności państwa.  Wykorzystanie systemu łączności na potrzeby obronne państwa. Świadczenia rzeczowe i osobiste  na rzecz obrony w razie ogłoszenia mobilizacji i w czasie wojny. Zadania przedsiębiorców na rzecz obrony. 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Metody realizacji i weryfikacji efektów uczenia się</w:t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2"/>
        <w:gridCol w:w="2646"/>
        <w:gridCol w:w="2780"/>
        <w:gridCol w:w="2672"/>
      </w:tblGrid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Metody dydaktyczne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Metody weryfikacji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Praca z tekstem, dyskusja, wykład konwersatoryjny, wykład konwencjonalny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 indywidualna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W_03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Praca z tekstem, dyskusja, wykład konwersatoryjny, wykład konwencjonalny, studium przypadku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ustna, referat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 indywidualna</w:t>
            </w:r>
          </w:p>
        </w:tc>
      </w:tr>
      <w:tr>
        <w:trPr/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Analiza tekstu , dyskusja on-line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 indywidualna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Studium przypadku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ustna, referat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Karta oceny prezentacji (referat)</w:t>
            </w:r>
          </w:p>
        </w:tc>
      </w:tr>
      <w:tr>
        <w:trPr/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Praca w grupach, dyskusja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Wypowiedź ustna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Dyskusja, wypowiedź ustna indywidualna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Akapitzlist1"/>
        <w:ind w:left="1080" w:hanging="0"/>
        <w:rPr>
          <w:b/>
        </w:rPr>
      </w:pPr>
      <w:r>
        <w:rPr>
          <w:b/>
        </w:rPr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Kryteria oceny, uwagi</w:t>
      </w:r>
    </w:p>
    <w:p>
      <w:pPr>
        <w:pStyle w:val="Akapitzlist1"/>
        <w:rPr>
          <w:b/>
        </w:rPr>
      </w:pPr>
      <w:r>
        <w:rPr>
          <w:b/>
        </w:rPr>
      </w:r>
    </w:p>
    <w:p>
      <w:pPr>
        <w:pStyle w:val="Akapitzlist1"/>
        <w:rPr/>
      </w:pPr>
      <w:r>
        <w:rPr/>
        <w:t>Na ocenę końcową składa się   ocena z egzaminu ustnego (odpowiedź na 3 pytania: 5, odpowiedź na 2 pytania: 4, odpowiedź na 1 pytanie: 3, brak odpowiedzi: 2)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Obciążenie pracą studenta</w:t>
      </w:r>
    </w:p>
    <w:tbl>
      <w:tblPr>
        <w:tblW w:w="9191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7"/>
        <w:gridCol w:w="4653"/>
      </w:tblGrid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Forma aktywności studenta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i/>
                <w:sz w:val="18"/>
                <w:szCs w:val="18"/>
              </w:rPr>
              <w:t>15</w:t>
            </w:r>
          </w:p>
        </w:tc>
      </w:tr>
      <w:tr>
        <w:trPr/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Liczba godzin indywidualnej pracy studenta</w:t>
            </w:r>
          </w:p>
          <w:p>
            <w:pPr>
              <w:pStyle w:val="Normal"/>
              <w:widowControl w:val="false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i/>
                <w:sz w:val="18"/>
                <w:szCs w:val="18"/>
              </w:rPr>
              <w:t>75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Akapitzlist1"/>
        <w:numPr>
          <w:ilvl w:val="0"/>
          <w:numId w:val="1"/>
        </w:numPr>
        <w:rPr/>
      </w:pPr>
      <w:r>
        <w:rPr>
          <w:b/>
        </w:rPr>
        <w:t>Literatura</w:t>
      </w:r>
    </w:p>
    <w:tbl>
      <w:tblPr>
        <w:tblW w:w="9192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92"/>
      </w:tblGrid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Literatura podstawowa</w:t>
            </w:r>
          </w:p>
        </w:tc>
      </w:tr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W.Kitler, Organizacja bezpieczeństwa narodowego Rzeczypospolitej Polskiej. Aspekty ustrojowe, prawno-administracyjne, Toruń 2018</w:t>
            </w:r>
          </w:p>
        </w:tc>
      </w:tr>
      <w:tr>
        <w:trPr/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W.Kitler, Bezpieczeństwa narodowe RP, Warszawa 2011</w:t>
            </w:r>
          </w:p>
        </w:tc>
      </w:tr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M.Kuliczkowski, L.Sawicki, Pozamilitarne przygotowania obronne, Warszawa 2020</w:t>
            </w:r>
          </w:p>
        </w:tc>
      </w:tr>
      <w:tr>
        <w:trPr/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M.Kuliczkowski, Pozamilitarne przygotowania obronne w Polsce. Próba systematyzacji procesualnych oraz funkcjonalnych aspektów przygotowań, Warszawa 2020</w:t>
            </w:r>
          </w:p>
        </w:tc>
      </w:tr>
      <w:tr>
        <w:trPr/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Literatura uzupełniająca</w:t>
            </w:r>
          </w:p>
        </w:tc>
      </w:tr>
      <w:tr>
        <w:trPr/>
        <w:tc>
          <w:tcPr>
            <w:tcW w:w="9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  <w:t>J.Pawłowski, B.Zdrodowski, Słownik terminów z zakresu bezpieczeństwa, Toruń 2021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Akapitzlist1"/>
        <w:rPr>
          <w:b/>
        </w:rPr>
      </w:pPr>
      <w:r>
        <w:rPr>
          <w:b/>
        </w:rPr>
      </w:r>
    </w:p>
    <w:p>
      <w:pPr>
        <w:pStyle w:val="Akapitzlist1"/>
        <w:spacing w:before="0" w:after="200"/>
        <w:contextualSpacing/>
        <w:rPr>
          <w:b/>
        </w:rPr>
      </w:pPr>
      <w:r>
        <w:rPr>
          <w:b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18de"/>
    <w:pPr>
      <w:widowControl/>
      <w:suppressAutoHyphens w:val="true"/>
      <w:bidi w:val="0"/>
      <w:spacing w:before="0" w:after="0"/>
      <w:jc w:val="left"/>
    </w:pPr>
    <w:rPr>
      <w:rFonts w:eastAsia="NSimSun" w:cs="Lucida Sans" w:ascii="Times New Roman" w:hAnsi="Times New Roman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718de"/>
    <w:rPr>
      <w:b/>
    </w:rPr>
  </w:style>
  <w:style w:type="character" w:styleId="WW8Num1z1" w:customStyle="1">
    <w:name w:val="WW8Num1z1"/>
    <w:qFormat/>
    <w:rsid w:val="00c718de"/>
    <w:rPr/>
  </w:style>
  <w:style w:type="character" w:styleId="WW8Num1z2" w:customStyle="1">
    <w:name w:val="WW8Num1z2"/>
    <w:qFormat/>
    <w:rsid w:val="00c718de"/>
    <w:rPr/>
  </w:style>
  <w:style w:type="character" w:styleId="WW8Num1z3" w:customStyle="1">
    <w:name w:val="WW8Num1z3"/>
    <w:qFormat/>
    <w:rsid w:val="00c718de"/>
    <w:rPr/>
  </w:style>
  <w:style w:type="character" w:styleId="WW8Num1z4" w:customStyle="1">
    <w:name w:val="WW8Num1z4"/>
    <w:qFormat/>
    <w:rsid w:val="00c718de"/>
    <w:rPr/>
  </w:style>
  <w:style w:type="character" w:styleId="WW8Num1z5" w:customStyle="1">
    <w:name w:val="WW8Num1z5"/>
    <w:qFormat/>
    <w:rsid w:val="00c718de"/>
    <w:rPr/>
  </w:style>
  <w:style w:type="character" w:styleId="WW8Num1z6" w:customStyle="1">
    <w:name w:val="WW8Num1z6"/>
    <w:qFormat/>
    <w:rsid w:val="00c718de"/>
    <w:rPr/>
  </w:style>
  <w:style w:type="character" w:styleId="WW8Num1z7" w:customStyle="1">
    <w:name w:val="WW8Num1z7"/>
    <w:qFormat/>
    <w:rsid w:val="00c718de"/>
    <w:rPr/>
  </w:style>
  <w:style w:type="character" w:styleId="WW8Num1z8" w:customStyle="1">
    <w:name w:val="WW8Num1z8"/>
    <w:qFormat/>
    <w:rsid w:val="00c718de"/>
    <w:rPr/>
  </w:style>
  <w:style w:type="character" w:styleId="WW8Num2z0" w:customStyle="1">
    <w:name w:val="WW8Num2z0"/>
    <w:qFormat/>
    <w:rsid w:val="00c718de"/>
    <w:rPr/>
  </w:style>
  <w:style w:type="character" w:styleId="WW8Num2z1" w:customStyle="1">
    <w:name w:val="WW8Num2z1"/>
    <w:qFormat/>
    <w:rsid w:val="00c718de"/>
    <w:rPr/>
  </w:style>
  <w:style w:type="character" w:styleId="WW8Num2z2" w:customStyle="1">
    <w:name w:val="WW8Num2z2"/>
    <w:qFormat/>
    <w:rsid w:val="00c718de"/>
    <w:rPr/>
  </w:style>
  <w:style w:type="character" w:styleId="WW8Num2z3" w:customStyle="1">
    <w:name w:val="WW8Num2z3"/>
    <w:qFormat/>
    <w:rsid w:val="00c718de"/>
    <w:rPr/>
  </w:style>
  <w:style w:type="character" w:styleId="WW8Num2z4" w:customStyle="1">
    <w:name w:val="WW8Num2z4"/>
    <w:qFormat/>
    <w:rsid w:val="00c718de"/>
    <w:rPr/>
  </w:style>
  <w:style w:type="character" w:styleId="WW8Num2z5" w:customStyle="1">
    <w:name w:val="WW8Num2z5"/>
    <w:qFormat/>
    <w:rsid w:val="00c718de"/>
    <w:rPr/>
  </w:style>
  <w:style w:type="character" w:styleId="WW8Num2z6" w:customStyle="1">
    <w:name w:val="WW8Num2z6"/>
    <w:qFormat/>
    <w:rsid w:val="00c718de"/>
    <w:rPr/>
  </w:style>
  <w:style w:type="character" w:styleId="WW8Num2z7" w:customStyle="1">
    <w:name w:val="WW8Num2z7"/>
    <w:qFormat/>
    <w:rsid w:val="00c718de"/>
    <w:rPr/>
  </w:style>
  <w:style w:type="character" w:styleId="WW8Num2z8" w:customStyle="1">
    <w:name w:val="WW8Num2z8"/>
    <w:qFormat/>
    <w:rsid w:val="00c718d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718de"/>
    <w:pPr>
      <w:spacing w:lineRule="auto" w:line="276" w:before="0" w:after="140"/>
    </w:pPr>
    <w:rPr/>
  </w:style>
  <w:style w:type="paragraph" w:styleId="Lista">
    <w:name w:val="List"/>
    <w:basedOn w:val="Tretekstu"/>
    <w:rsid w:val="00c718de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18de"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c718de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c718de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rsid w:val="00c718de"/>
    <w:pPr>
      <w:suppressLineNumbers/>
      <w:spacing w:before="120" w:after="120"/>
    </w:pPr>
    <w:rPr>
      <w:i/>
      <w:iCs/>
    </w:rPr>
  </w:style>
  <w:style w:type="paragraph" w:styleId="Akapitzlist1" w:customStyle="1">
    <w:name w:val="Akapit z listą1"/>
    <w:basedOn w:val="Normal"/>
    <w:qFormat/>
    <w:rsid w:val="00c718de"/>
    <w:pPr>
      <w:spacing w:before="0" w:after="200"/>
      <w:ind w:left="720" w:hanging="0"/>
      <w:contextualSpacing/>
    </w:pPr>
    <w:rPr/>
  </w:style>
  <w:style w:type="paragraph" w:styleId="Gwkaistopka" w:customStyle="1">
    <w:name w:val="Główka i stopka"/>
    <w:basedOn w:val="Normal"/>
    <w:qFormat/>
    <w:rsid w:val="00c718d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rsid w:val="00c718d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c718d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"/>
    <w:qFormat/>
    <w:rsid w:val="00c718de"/>
    <w:pPr>
      <w:suppressLineNumbers/>
    </w:pPr>
    <w:rPr/>
  </w:style>
  <w:style w:type="paragraph" w:styleId="Nagwektabeli" w:customStyle="1">
    <w:name w:val="Nagłówek tabeli"/>
    <w:basedOn w:val="Zawartotabeli"/>
    <w:qFormat/>
    <w:rsid w:val="00c718de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LibreOffice/7.5.6.2$Windows_X86_64 LibreOffice_project/f654817fb68d6d4600d7d2f6b647e47729f55f15</Application>
  <AppVersion>15.0000</AppVersion>
  <Pages>4</Pages>
  <Words>494</Words>
  <Characters>3726</Characters>
  <CharactersWithSpaces>4103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2024-09-24T06:24:00Z</dcterms:created>
  <dc:creator>Damian Szeleszczuk</dc:creator>
  <dc:description/>
  <dc:language>pl-PL</dc:language>
  <cp:lastModifiedBy/>
  <cp:lastPrinted>1995-11-21T15:41:00Z</cp:lastPrinted>
  <dcterms:modified xsi:type="dcterms:W3CDTF">2024-11-18T16:35:58Z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