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DD56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469901E3" w14:textId="77777777" w:rsidR="00646F79" w:rsidRPr="00646F79" w:rsidRDefault="00307E32" w:rsidP="00646F79">
      <w:pPr>
        <w:spacing w:after="120"/>
      </w:pPr>
      <w:r>
        <w:t>Rok akademicki</w:t>
      </w:r>
      <w:r w:rsidR="00646F79" w:rsidRPr="00646F79">
        <w:t>:</w:t>
      </w:r>
      <w:r>
        <w:t xml:space="preserve"> 2024/25</w:t>
      </w:r>
    </w:p>
    <w:p w14:paraId="76EA2C8A" w14:textId="77777777" w:rsidR="003C473D" w:rsidRDefault="003C473D" w:rsidP="004F73CF">
      <w:pPr>
        <w:rPr>
          <w:b/>
        </w:rPr>
      </w:pPr>
    </w:p>
    <w:p w14:paraId="10BBAA7D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D1A52" w14:paraId="28ABC994" w14:textId="77777777" w:rsidTr="0047354E">
        <w:tc>
          <w:tcPr>
            <w:tcW w:w="4606" w:type="dxa"/>
          </w:tcPr>
          <w:p w14:paraId="0A8836BC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26A87C0D" w14:textId="46C7E7C6" w:rsidR="002D1A52" w:rsidRPr="00CE6101" w:rsidRDefault="000E44CE" w:rsidP="0047354E">
            <w:pPr>
              <w:rPr>
                <w:b/>
                <w:bCs/>
              </w:rPr>
            </w:pPr>
            <w:r>
              <w:rPr>
                <w:b/>
                <w:bCs/>
              </w:rPr>
              <w:t>Prawo w świetle Biblii</w:t>
            </w:r>
          </w:p>
        </w:tc>
      </w:tr>
      <w:tr w:rsidR="002D1A52" w:rsidRPr="000E44CE" w14:paraId="0DCA4DDD" w14:textId="77777777" w:rsidTr="00AE43B8">
        <w:tc>
          <w:tcPr>
            <w:tcW w:w="4606" w:type="dxa"/>
          </w:tcPr>
          <w:p w14:paraId="6160F7D9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60112BCD" w14:textId="22841A7B" w:rsidR="002D1A52" w:rsidRPr="000E44CE" w:rsidRDefault="000E44CE" w:rsidP="00AE43B8">
            <w:pPr>
              <w:rPr>
                <w:b/>
                <w:bCs/>
                <w:lang w:val="en-GB"/>
              </w:rPr>
            </w:pPr>
            <w:r w:rsidRPr="000E44CE">
              <w:rPr>
                <w:b/>
                <w:bCs/>
                <w:lang w:val="en-GB"/>
              </w:rPr>
              <w:t>Law in the light of the Bible</w:t>
            </w:r>
          </w:p>
        </w:tc>
      </w:tr>
      <w:tr w:rsidR="002D1A52" w14:paraId="5F2A0F6A" w14:textId="77777777" w:rsidTr="00387F68">
        <w:tc>
          <w:tcPr>
            <w:tcW w:w="4606" w:type="dxa"/>
          </w:tcPr>
          <w:p w14:paraId="2519CA77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6978ED07" w14:textId="77777777" w:rsidR="002D1A52" w:rsidRDefault="00307E32" w:rsidP="00387F68">
            <w:r>
              <w:t>Zajęcia misyjne</w:t>
            </w:r>
          </w:p>
        </w:tc>
      </w:tr>
      <w:tr w:rsidR="001C0192" w14:paraId="5914D3FB" w14:textId="77777777" w:rsidTr="004B6051">
        <w:tc>
          <w:tcPr>
            <w:tcW w:w="4606" w:type="dxa"/>
          </w:tcPr>
          <w:p w14:paraId="6B9E4898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3253EF6C" w14:textId="77777777" w:rsidR="001C0192" w:rsidRDefault="00307E32" w:rsidP="004B6051">
            <w:r>
              <w:t>II, jednolite magisterskie</w:t>
            </w:r>
          </w:p>
        </w:tc>
      </w:tr>
      <w:tr w:rsidR="001C0192" w14:paraId="42FB8A13" w14:textId="77777777" w:rsidTr="004B6051">
        <w:tc>
          <w:tcPr>
            <w:tcW w:w="4606" w:type="dxa"/>
          </w:tcPr>
          <w:p w14:paraId="0F15248B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3927B29A" w14:textId="77777777" w:rsidR="001C0192" w:rsidRDefault="00307E32" w:rsidP="004B6051">
            <w:r>
              <w:t>stacjonarne</w:t>
            </w:r>
          </w:p>
        </w:tc>
      </w:tr>
      <w:tr w:rsidR="002D1A52" w14:paraId="5EC9E56B" w14:textId="77777777" w:rsidTr="004B6051">
        <w:tc>
          <w:tcPr>
            <w:tcW w:w="4606" w:type="dxa"/>
          </w:tcPr>
          <w:p w14:paraId="46ECC35C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040F6CB4" w14:textId="77777777" w:rsidR="002D1A52" w:rsidRDefault="00307E32" w:rsidP="004B6051">
            <w:r>
              <w:t>nauki biblijne</w:t>
            </w:r>
          </w:p>
        </w:tc>
      </w:tr>
      <w:tr w:rsidR="00C961A5" w14:paraId="2D4FCE9D" w14:textId="77777777" w:rsidTr="002D1A52">
        <w:tc>
          <w:tcPr>
            <w:tcW w:w="4606" w:type="dxa"/>
          </w:tcPr>
          <w:p w14:paraId="02732446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16434236" w14:textId="77777777" w:rsidR="00C961A5" w:rsidRDefault="00307E32" w:rsidP="002D1A52">
            <w:r>
              <w:t>polski</w:t>
            </w:r>
          </w:p>
        </w:tc>
      </w:tr>
    </w:tbl>
    <w:p w14:paraId="69B621F8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C961A5" w14:paraId="50E083B2" w14:textId="77777777" w:rsidTr="00C961A5">
        <w:tc>
          <w:tcPr>
            <w:tcW w:w="4606" w:type="dxa"/>
          </w:tcPr>
          <w:p w14:paraId="0B420522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7ECB9B40" w14:textId="218D7F7C" w:rsidR="00C961A5" w:rsidRPr="00C234C2" w:rsidRDefault="00C234C2" w:rsidP="002D1A52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C234C2">
              <w:rPr>
                <w:b/>
                <w:bCs/>
              </w:rPr>
              <w:t>s. dr Tomasz Bąk</w:t>
            </w:r>
          </w:p>
          <w:p w14:paraId="640FE567" w14:textId="77777777" w:rsidR="003C473D" w:rsidRDefault="003C473D" w:rsidP="002D1A52"/>
        </w:tc>
      </w:tr>
    </w:tbl>
    <w:p w14:paraId="5029375A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1"/>
        <w:gridCol w:w="2262"/>
        <w:gridCol w:w="2266"/>
        <w:gridCol w:w="2263"/>
      </w:tblGrid>
      <w:tr w:rsidR="00C37A43" w14:paraId="25952C28" w14:textId="77777777" w:rsidTr="00B04272">
        <w:tc>
          <w:tcPr>
            <w:tcW w:w="2303" w:type="dxa"/>
          </w:tcPr>
          <w:p w14:paraId="583D62EB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4608A870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5532AD13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14268A52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544CCADD" w14:textId="77777777" w:rsidTr="00C37A43">
        <w:tc>
          <w:tcPr>
            <w:tcW w:w="2303" w:type="dxa"/>
          </w:tcPr>
          <w:p w14:paraId="66CBAF21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2F0A7276" w14:textId="77777777" w:rsidR="003C473D" w:rsidRDefault="00307E32" w:rsidP="002D1A52">
            <w:r>
              <w:t>30</w:t>
            </w:r>
          </w:p>
        </w:tc>
        <w:tc>
          <w:tcPr>
            <w:tcW w:w="2303" w:type="dxa"/>
          </w:tcPr>
          <w:p w14:paraId="3ED5DACE" w14:textId="77777777" w:rsidR="003C473D" w:rsidRDefault="00307E32" w:rsidP="002D1A52">
            <w:r>
              <w:t>zimowy</w:t>
            </w:r>
          </w:p>
        </w:tc>
        <w:tc>
          <w:tcPr>
            <w:tcW w:w="2303" w:type="dxa"/>
          </w:tcPr>
          <w:p w14:paraId="2D37E4AF" w14:textId="77777777" w:rsidR="003C473D" w:rsidRDefault="00307E32" w:rsidP="002D1A52">
            <w:r>
              <w:t>2</w:t>
            </w:r>
          </w:p>
        </w:tc>
      </w:tr>
    </w:tbl>
    <w:p w14:paraId="210F7074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19185AA7" w14:textId="77777777" w:rsidTr="002754C6">
        <w:tc>
          <w:tcPr>
            <w:tcW w:w="2235" w:type="dxa"/>
          </w:tcPr>
          <w:p w14:paraId="6859E8C1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5690DDD4" w14:textId="77777777" w:rsidR="004F73CF" w:rsidRDefault="00CE6101" w:rsidP="002D1A52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W1: Podstawowe wiadomości o Biblii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i środowisku jej powstania.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  <w:t xml:space="preserve">W2: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Bardzo o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gólna znajomość orędzia biblijnego i najważniejszych postaci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Starego i Nowego Testamentu.</w:t>
            </w:r>
          </w:p>
          <w:p w14:paraId="5C43336A" w14:textId="519DC52E" w:rsidR="00CE6101" w:rsidRDefault="00CE6101" w:rsidP="002D1A52">
            <w:r>
              <w:t>W3: Podstawowe informacje z historii powszechnej.</w:t>
            </w:r>
          </w:p>
        </w:tc>
      </w:tr>
    </w:tbl>
    <w:p w14:paraId="565A76C8" w14:textId="77777777" w:rsidR="004F73CF" w:rsidRDefault="004F73CF" w:rsidP="004F73CF">
      <w:pPr>
        <w:spacing w:after="0"/>
      </w:pPr>
    </w:p>
    <w:p w14:paraId="678BC6BF" w14:textId="77777777" w:rsidR="008215CC" w:rsidRDefault="008215CC" w:rsidP="008215CC">
      <w:pPr>
        <w:spacing w:after="0"/>
      </w:pPr>
    </w:p>
    <w:p w14:paraId="7854836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3E00F274" w14:textId="77777777" w:rsidTr="004F73CF">
        <w:tc>
          <w:tcPr>
            <w:tcW w:w="9212" w:type="dxa"/>
          </w:tcPr>
          <w:p w14:paraId="5D41BD1D" w14:textId="492A20C4" w:rsidR="004F73CF" w:rsidRDefault="00307E32" w:rsidP="00DD3618">
            <w:r>
              <w:t>C1:</w:t>
            </w:r>
            <w:r w:rsidR="00CE6101"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Zapoznanie studenta z procesem i środowiskiem powstania Biblii, językami biblijnymi</w:t>
            </w:r>
            <w:r w:rsidR="00C653FB">
              <w:rPr>
                <w:rFonts w:cstheme="minorHAnsi"/>
                <w:szCs w:val="20"/>
                <w:shd w:val="clear" w:color="auto" w:fill="FFFFFF" w:themeFill="background1"/>
              </w:rPr>
              <w:t>, gatunkami literackimi</w:t>
            </w:r>
            <w:r w:rsidR="00CE6101"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oraz kanonem ksiąg biblijnych.</w:t>
            </w:r>
          </w:p>
        </w:tc>
      </w:tr>
      <w:tr w:rsidR="004F73CF" w14:paraId="5FCE1192" w14:textId="77777777" w:rsidTr="004F73CF">
        <w:tc>
          <w:tcPr>
            <w:tcW w:w="9212" w:type="dxa"/>
          </w:tcPr>
          <w:p w14:paraId="45621BB7" w14:textId="7B90D7CB" w:rsidR="004F73CF" w:rsidRDefault="00307E32" w:rsidP="004F73CF">
            <w:r>
              <w:t>C2:</w:t>
            </w:r>
            <w:r w:rsidR="00CE6101">
              <w:t xml:space="preserve"> </w:t>
            </w:r>
            <w:r w:rsidR="00CE6101"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Bliższe zaznajomienie studenta z wielkimi toposami biblijnymi </w:t>
            </w:r>
            <w:r w:rsidR="00C653FB">
              <w:rPr>
                <w:rFonts w:cstheme="minorHAnsi"/>
                <w:szCs w:val="20"/>
                <w:shd w:val="clear" w:color="auto" w:fill="FFFFFF" w:themeFill="background1"/>
              </w:rPr>
              <w:t xml:space="preserve">ze szczególnym zwróceniem uwagi na te tematy, </w:t>
            </w:r>
            <w:r w:rsidR="000E44CE">
              <w:rPr>
                <w:rFonts w:cstheme="minorHAnsi"/>
                <w:szCs w:val="20"/>
                <w:shd w:val="clear" w:color="auto" w:fill="FFFFFF" w:themeFill="background1"/>
              </w:rPr>
              <w:t>w których pojawiają się kwestie prawne</w:t>
            </w:r>
            <w:r w:rsidR="00C653FB">
              <w:rPr>
                <w:rFonts w:cstheme="minorHAnsi"/>
                <w:szCs w:val="20"/>
                <w:shd w:val="clear" w:color="auto" w:fill="FFFFFF" w:themeFill="background1"/>
              </w:rPr>
              <w:t>.</w:t>
            </w:r>
          </w:p>
        </w:tc>
      </w:tr>
      <w:tr w:rsidR="004F73CF" w14:paraId="2CCE25BA" w14:textId="77777777" w:rsidTr="004F73CF">
        <w:tc>
          <w:tcPr>
            <w:tcW w:w="9212" w:type="dxa"/>
          </w:tcPr>
          <w:p w14:paraId="7F8502EC" w14:textId="78DA2228" w:rsidR="004F73CF" w:rsidRDefault="00CE6101" w:rsidP="004F73CF"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C3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: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Umieszczenie tekstów biblijnych w kontekście starożytnej</w:t>
            </w:r>
            <w:r w:rsidR="000E44CE">
              <w:rPr>
                <w:rFonts w:cstheme="minorHAnsi"/>
                <w:szCs w:val="20"/>
                <w:shd w:val="clear" w:color="auto" w:fill="FFFFFF" w:themeFill="background1"/>
              </w:rPr>
              <w:t xml:space="preserve"> kultury i prawa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oraz ukazanie ich roli w inspirowaniu wielkich </w:t>
            </w:r>
            <w:r w:rsidRPr="00510DC0">
              <w:t>dzieł sztuki i kultury europejskiej</w:t>
            </w:r>
            <w:r w:rsidR="000E44CE">
              <w:t>.</w:t>
            </w:r>
          </w:p>
        </w:tc>
      </w:tr>
      <w:tr w:rsidR="00CE6101" w14:paraId="6A64776D" w14:textId="77777777" w:rsidTr="004F73CF">
        <w:tc>
          <w:tcPr>
            <w:tcW w:w="9212" w:type="dxa"/>
          </w:tcPr>
          <w:p w14:paraId="4C3A0F29" w14:textId="410B0CEB" w:rsidR="00CE6101" w:rsidRPr="00510DC0" w:rsidRDefault="00CE6101" w:rsidP="004F73CF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C4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: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Ukazanie Biblii jako wciąż aktualnej odpowiedzi na wielkie pytania egzystencjalne i poszukiwania współczesnego człowieka</w:t>
            </w:r>
            <w:r w:rsidR="00C653FB">
              <w:rPr>
                <w:rFonts w:cstheme="minorHAnsi"/>
                <w:szCs w:val="20"/>
                <w:shd w:val="clear" w:color="auto" w:fill="FFFFFF" w:themeFill="background1"/>
              </w:rPr>
              <w:t>.</w:t>
            </w:r>
          </w:p>
        </w:tc>
      </w:tr>
    </w:tbl>
    <w:p w14:paraId="7B8A0C23" w14:textId="77777777" w:rsidR="003C473D" w:rsidRDefault="003C473D" w:rsidP="004F73CF">
      <w:pPr>
        <w:spacing w:after="0"/>
      </w:pPr>
    </w:p>
    <w:p w14:paraId="7A008410" w14:textId="77777777" w:rsidR="003C473D" w:rsidRDefault="003C473D">
      <w:r>
        <w:br w:type="page"/>
      </w:r>
    </w:p>
    <w:p w14:paraId="00D742A4" w14:textId="77777777" w:rsidR="004F73CF" w:rsidRDefault="004F73CF" w:rsidP="004F73CF">
      <w:pPr>
        <w:spacing w:after="0"/>
      </w:pPr>
    </w:p>
    <w:p w14:paraId="5D24458C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1"/>
        <w:gridCol w:w="5711"/>
        <w:gridCol w:w="2120"/>
      </w:tblGrid>
      <w:tr w:rsidR="004F73CF" w14:paraId="2FA1D08A" w14:textId="77777777" w:rsidTr="00307E32">
        <w:tc>
          <w:tcPr>
            <w:tcW w:w="1231" w:type="dxa"/>
            <w:vAlign w:val="center"/>
          </w:tcPr>
          <w:p w14:paraId="538D0000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06" w:type="dxa"/>
            <w:vAlign w:val="center"/>
          </w:tcPr>
          <w:p w14:paraId="6345D3C5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1" w:type="dxa"/>
            <w:vAlign w:val="center"/>
          </w:tcPr>
          <w:p w14:paraId="08DA0942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7C7C8355" w14:textId="77777777" w:rsidTr="00307E32">
        <w:tc>
          <w:tcPr>
            <w:tcW w:w="9288" w:type="dxa"/>
            <w:gridSpan w:val="3"/>
          </w:tcPr>
          <w:p w14:paraId="6DCA145F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307E32" w14:paraId="50FF814F" w14:textId="77777777" w:rsidTr="00307E32">
        <w:tc>
          <w:tcPr>
            <w:tcW w:w="1231" w:type="dxa"/>
          </w:tcPr>
          <w:p w14:paraId="4FC759C6" w14:textId="77777777" w:rsidR="00307E32" w:rsidRPr="009162EB" w:rsidRDefault="00307E32" w:rsidP="006F0133">
            <w:r w:rsidRPr="009162EB">
              <w:t>Un_B_W01</w:t>
            </w:r>
          </w:p>
        </w:tc>
        <w:tc>
          <w:tcPr>
            <w:tcW w:w="5906" w:type="dxa"/>
          </w:tcPr>
          <w:p w14:paraId="2DCBF18C" w14:textId="77777777" w:rsidR="00307E32" w:rsidRPr="0046418F" w:rsidRDefault="00307E32" w:rsidP="00307E32">
            <w:pPr>
              <w:jc w:val="both"/>
            </w:pPr>
            <w:r>
              <w:t xml:space="preserve">zna i rozumie </w:t>
            </w:r>
            <w:r w:rsidRPr="0046418F">
              <w:t>podstawowe treści Biblii i doktryny Kościoła odnoszące się do indywidualnego i społecznego życia człowieka oraz przemian kulturowych, cywilizacyjnych, politycznych i technologicznych</w:t>
            </w:r>
          </w:p>
        </w:tc>
        <w:tc>
          <w:tcPr>
            <w:tcW w:w="2151" w:type="dxa"/>
          </w:tcPr>
          <w:p w14:paraId="03FE61ED" w14:textId="77777777" w:rsidR="00307E32" w:rsidRDefault="00307E32" w:rsidP="004F73CF">
            <w:r>
              <w:t>Nie dotyczy</w:t>
            </w:r>
          </w:p>
        </w:tc>
      </w:tr>
      <w:tr w:rsidR="00307E32" w14:paraId="137B8450" w14:textId="77777777" w:rsidTr="00307E32">
        <w:tc>
          <w:tcPr>
            <w:tcW w:w="1231" w:type="dxa"/>
          </w:tcPr>
          <w:p w14:paraId="7510A716" w14:textId="77777777" w:rsidR="00307E32" w:rsidRDefault="00307E32" w:rsidP="006F0133">
            <w:r w:rsidRPr="009162EB">
              <w:t>Un_B_W02</w:t>
            </w:r>
          </w:p>
        </w:tc>
        <w:tc>
          <w:tcPr>
            <w:tcW w:w="5906" w:type="dxa"/>
          </w:tcPr>
          <w:p w14:paraId="1AE6ECB5" w14:textId="77777777" w:rsidR="00307E32" w:rsidRDefault="00307E32" w:rsidP="00307E32">
            <w:pPr>
              <w:jc w:val="both"/>
            </w:pPr>
            <w:r>
              <w:t>zna i rozumie</w:t>
            </w:r>
            <w:r w:rsidRPr="0046418F">
              <w:t xml:space="preserve"> chrześcijańskie korzenie cywilizacji europejskiej, w szczególności motywy biblijne i teologiczne, kształtujące europejskie zasady życia społecznego i politycznego oraz fundamentalne prawa i wolności człowieka</w:t>
            </w:r>
          </w:p>
        </w:tc>
        <w:tc>
          <w:tcPr>
            <w:tcW w:w="2151" w:type="dxa"/>
          </w:tcPr>
          <w:p w14:paraId="28139D05" w14:textId="77777777" w:rsidR="00307E32" w:rsidRDefault="00307E32" w:rsidP="004F73CF">
            <w:r>
              <w:t>Nie dotyczy</w:t>
            </w:r>
          </w:p>
        </w:tc>
      </w:tr>
      <w:tr w:rsidR="004F73CF" w14:paraId="16EFC510" w14:textId="77777777" w:rsidTr="00307E32">
        <w:tc>
          <w:tcPr>
            <w:tcW w:w="9288" w:type="dxa"/>
            <w:gridSpan w:val="3"/>
          </w:tcPr>
          <w:p w14:paraId="048FAD16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30826C19" w14:textId="77777777" w:rsidTr="00307E32">
        <w:tc>
          <w:tcPr>
            <w:tcW w:w="1231" w:type="dxa"/>
          </w:tcPr>
          <w:p w14:paraId="0767C6C4" w14:textId="77777777" w:rsidR="004F73CF" w:rsidRDefault="00307E32" w:rsidP="004F73CF">
            <w:r w:rsidRPr="00307E32">
              <w:t>Un_B_U01</w:t>
            </w:r>
          </w:p>
        </w:tc>
        <w:tc>
          <w:tcPr>
            <w:tcW w:w="5906" w:type="dxa"/>
          </w:tcPr>
          <w:p w14:paraId="3340F969" w14:textId="77777777" w:rsidR="004F73CF" w:rsidRDefault="00307E32" w:rsidP="004F73CF">
            <w:r>
              <w:t xml:space="preserve">potrafi </w:t>
            </w:r>
            <w:r w:rsidRPr="00307E32">
              <w:t>interpretować i oceniać współczesne zjawiska kulturowe, cywilizacyjne, polityczne i ekonomiczne w świetle tekstów biblijnych i doktryny Kościoła</w:t>
            </w:r>
          </w:p>
        </w:tc>
        <w:tc>
          <w:tcPr>
            <w:tcW w:w="2151" w:type="dxa"/>
          </w:tcPr>
          <w:p w14:paraId="5EAD116D" w14:textId="77777777" w:rsidR="004F73CF" w:rsidRDefault="00307E32" w:rsidP="004F73CF">
            <w:r>
              <w:t>Nie dotyczy</w:t>
            </w:r>
          </w:p>
        </w:tc>
      </w:tr>
    </w:tbl>
    <w:p w14:paraId="1679CB55" w14:textId="77777777" w:rsidR="003C473D" w:rsidRDefault="003C473D" w:rsidP="003C473D">
      <w:pPr>
        <w:pStyle w:val="Akapitzlist"/>
        <w:ind w:left="1080"/>
        <w:rPr>
          <w:b/>
        </w:rPr>
      </w:pPr>
    </w:p>
    <w:p w14:paraId="597A43F5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5D42AA41" w14:textId="77777777" w:rsidTr="00FC6CE1">
        <w:tc>
          <w:tcPr>
            <w:tcW w:w="9212" w:type="dxa"/>
          </w:tcPr>
          <w:p w14:paraId="186D66A2" w14:textId="24F568E3" w:rsidR="00C653FB" w:rsidRPr="00C653FB" w:rsidRDefault="00C653FB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1</w:t>
            </w:r>
            <w:r w:rsidRPr="00C653FB">
              <w:rPr>
                <w:rFonts w:cstheme="minorHAnsi"/>
                <w:szCs w:val="20"/>
                <w:shd w:val="clear" w:color="auto" w:fill="FFFFFF" w:themeFill="background1"/>
              </w:rPr>
              <w:t>. Nazw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a</w:t>
            </w:r>
            <w:r w:rsidRPr="00C653FB">
              <w:rPr>
                <w:rFonts w:cstheme="minorHAnsi"/>
                <w:szCs w:val="20"/>
                <w:shd w:val="clear" w:color="auto" w:fill="FFFFFF" w:themeFill="background1"/>
              </w:rPr>
              <w:t xml:space="preserve"> i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najważniejsze części Pisma świętego</w:t>
            </w:r>
            <w:r w:rsidR="000E44CE">
              <w:rPr>
                <w:rFonts w:cstheme="minorHAnsi"/>
                <w:szCs w:val="20"/>
                <w:shd w:val="clear" w:color="auto" w:fill="FFFFFF" w:themeFill="background1"/>
              </w:rPr>
              <w:t xml:space="preserve"> ze szczególnym akcentem na </w:t>
            </w:r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>Torę-Prawo Mojżesza</w:t>
            </w:r>
            <w:r w:rsidRPr="00C653FB">
              <w:rPr>
                <w:rFonts w:cstheme="minorHAnsi"/>
                <w:szCs w:val="20"/>
                <w:shd w:val="clear" w:color="auto" w:fill="FFFFFF" w:themeFill="background1"/>
              </w:rPr>
              <w:t>. </w:t>
            </w:r>
          </w:p>
          <w:p w14:paraId="579D21A7" w14:textId="77777777" w:rsidR="00C653FB" w:rsidRDefault="00C653FB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2</w:t>
            </w:r>
            <w:r w:rsidRPr="00C653FB">
              <w:rPr>
                <w:rFonts w:cstheme="minorHAnsi"/>
                <w:szCs w:val="20"/>
                <w:shd w:val="clear" w:color="auto" w:fill="FFFFFF" w:themeFill="background1"/>
              </w:rPr>
              <w:t>. Kanon Pisma Świętego. Kwestia apokryfów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.</w:t>
            </w:r>
            <w:r w:rsidRPr="00C653FB">
              <w:rPr>
                <w:rFonts w:cstheme="minorHAnsi"/>
                <w:szCs w:val="20"/>
                <w:shd w:val="clear" w:color="auto" w:fill="FFFFFF" w:themeFill="background1"/>
              </w:rPr>
              <w:br/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3</w:t>
            </w:r>
            <w:r w:rsidRPr="00C653FB">
              <w:rPr>
                <w:rFonts w:cstheme="minorHAnsi"/>
                <w:szCs w:val="20"/>
                <w:shd w:val="clear" w:color="auto" w:fill="FFFFFF" w:themeFill="background1"/>
              </w:rPr>
              <w:t>. Natchnienie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biblijne.</w:t>
            </w:r>
          </w:p>
          <w:p w14:paraId="6275B8B9" w14:textId="77777777" w:rsidR="00281A94" w:rsidRDefault="00C653FB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4. Najważniejsze gatunki literackie w Biblii.</w:t>
            </w:r>
          </w:p>
          <w:p w14:paraId="07C2844E" w14:textId="77777777" w:rsidR="00281A94" w:rsidRDefault="00281A94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5. Biblia jako księga dydaktyczna.</w:t>
            </w:r>
          </w:p>
          <w:p w14:paraId="7AF53522" w14:textId="77777777" w:rsidR="00281A94" w:rsidRDefault="00281A94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6. Biblia a historia.</w:t>
            </w:r>
          </w:p>
          <w:p w14:paraId="6D3FEB52" w14:textId="77777777" w:rsidR="00281A94" w:rsidRDefault="00281A94" w:rsidP="00C653FB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7. Wpływ archeologii biblijnej na rozumienie Pisma świętego. </w:t>
            </w:r>
          </w:p>
          <w:p w14:paraId="56F19254" w14:textId="471DF20E" w:rsidR="00281A94" w:rsidRDefault="00281A94" w:rsidP="00281A94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8. </w:t>
            </w:r>
            <w:r w:rsidR="000E44CE">
              <w:rPr>
                <w:rFonts w:cstheme="minorHAnsi"/>
                <w:szCs w:val="20"/>
                <w:shd w:val="clear" w:color="auto" w:fill="FFFFFF" w:themeFill="background1"/>
              </w:rPr>
              <w:t>Prawo świętego szabatu w kontekście poematu o stworzeniu świata (Rdz 1).</w:t>
            </w:r>
          </w:p>
          <w:p w14:paraId="2B11EA6D" w14:textId="7D1BA3F7" w:rsidR="00281A94" w:rsidRDefault="00281A94" w:rsidP="00281A94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9. </w:t>
            </w:r>
            <w:r w:rsidR="000E44CE">
              <w:rPr>
                <w:rFonts w:cstheme="minorHAnsi"/>
                <w:szCs w:val="20"/>
                <w:shd w:val="clear" w:color="auto" w:fill="FFFFFF" w:themeFill="background1"/>
              </w:rPr>
              <w:t>Prawo równości mężczyzny i kobiety (Rdz 1-2)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.</w:t>
            </w:r>
          </w:p>
          <w:p w14:paraId="5790D665" w14:textId="4516B98B" w:rsidR="000E44CE" w:rsidRDefault="000E44CE" w:rsidP="00281A94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10. Prawo zemsty nieproporcjonalnej (Rdz 4) i droga w kierunku prawa miłości (J 15).</w:t>
            </w:r>
          </w:p>
          <w:p w14:paraId="45B0DD07" w14:textId="0378F977" w:rsidR="000E44CE" w:rsidRDefault="000E44CE" w:rsidP="00281A94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11. Prawa Tabliczek z </w:t>
            </w:r>
            <w:proofErr w:type="spellStart"/>
            <w:r>
              <w:rPr>
                <w:rFonts w:cstheme="minorHAnsi"/>
                <w:szCs w:val="20"/>
                <w:shd w:val="clear" w:color="auto" w:fill="FFFFFF" w:themeFill="background1"/>
              </w:rPr>
              <w:t>Nuzi</w:t>
            </w:r>
            <w:proofErr w:type="spellEnd"/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w kontekście opowiadań o patriarchach (Rdz 12-50).</w:t>
            </w:r>
          </w:p>
          <w:p w14:paraId="05172F14" w14:textId="340A7091" w:rsidR="000E44CE" w:rsidRDefault="000E44CE" w:rsidP="00281A94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12. Prawo lewiratu (Rdz 38</w:t>
            </w:r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 xml:space="preserve">; </w:t>
            </w:r>
            <w:proofErr w:type="spellStart"/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>Rt</w:t>
            </w:r>
            <w:proofErr w:type="spellEnd"/>
            <w:r>
              <w:rPr>
                <w:rFonts w:cstheme="minorHAnsi"/>
                <w:szCs w:val="20"/>
                <w:shd w:val="clear" w:color="auto" w:fill="FFFFFF" w:themeFill="background1"/>
              </w:rPr>
              <w:t>).</w:t>
            </w:r>
          </w:p>
          <w:p w14:paraId="4E317B12" w14:textId="5F36D54F" w:rsidR="000E44CE" w:rsidRDefault="000E44CE" w:rsidP="00281A94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13. Prawo Dekalogu</w:t>
            </w:r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 xml:space="preserve"> (</w:t>
            </w:r>
            <w:proofErr w:type="spellStart"/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>Wj</w:t>
            </w:r>
            <w:proofErr w:type="spellEnd"/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 xml:space="preserve"> 20) w kontekście prawa Hammurabiego i </w:t>
            </w:r>
            <w:proofErr w:type="spellStart"/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>nowotestamentalnego</w:t>
            </w:r>
            <w:proofErr w:type="spellEnd"/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 xml:space="preserve"> prawa ośmiu błogosławieństw (Mt 5).</w:t>
            </w:r>
          </w:p>
          <w:p w14:paraId="38A737D8" w14:textId="304865D7" w:rsidR="002D2B90" w:rsidRDefault="002D2B90" w:rsidP="00281A94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14. Wybrane przepisy prawne, dotyczące rytualnej czystości (</w:t>
            </w:r>
            <w:proofErr w:type="spellStart"/>
            <w:r>
              <w:rPr>
                <w:rFonts w:cstheme="minorHAnsi"/>
                <w:szCs w:val="20"/>
                <w:shd w:val="clear" w:color="auto" w:fill="FFFFFF" w:themeFill="background1"/>
              </w:rPr>
              <w:t>Kpł</w:t>
            </w:r>
            <w:proofErr w:type="spellEnd"/>
            <w:r>
              <w:rPr>
                <w:rFonts w:cstheme="minorHAnsi"/>
                <w:szCs w:val="20"/>
                <w:shd w:val="clear" w:color="auto" w:fill="FFFFFF" w:themeFill="background1"/>
              </w:rPr>
              <w:t>, Lb).</w:t>
            </w:r>
          </w:p>
          <w:p w14:paraId="1E6C76AE" w14:textId="5DAA5BAF" w:rsidR="00283526" w:rsidRDefault="00281A94" w:rsidP="00283526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1</w:t>
            </w:r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>5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. </w:t>
            </w:r>
            <w:r w:rsidR="000E44CE">
              <w:rPr>
                <w:rFonts w:cstheme="minorHAnsi"/>
                <w:szCs w:val="20"/>
                <w:shd w:val="clear" w:color="auto" w:fill="FFFFFF" w:themeFill="background1"/>
              </w:rPr>
              <w:t>Prawo małżeńskie starożytnego Izraela w kontekście opowiadania o Zwiastowaniu (</w:t>
            </w:r>
            <w:proofErr w:type="spellStart"/>
            <w:r w:rsidR="000E44CE">
              <w:rPr>
                <w:rFonts w:cstheme="minorHAnsi"/>
                <w:szCs w:val="20"/>
                <w:shd w:val="clear" w:color="auto" w:fill="FFFFFF" w:themeFill="background1"/>
              </w:rPr>
              <w:t>Łk</w:t>
            </w:r>
            <w:proofErr w:type="spellEnd"/>
            <w:r w:rsidR="000E44CE">
              <w:rPr>
                <w:rFonts w:cstheme="minorHAnsi"/>
                <w:szCs w:val="20"/>
                <w:shd w:val="clear" w:color="auto" w:fill="FFFFFF" w:themeFill="background1"/>
              </w:rPr>
              <w:t xml:space="preserve"> 1).</w:t>
            </w:r>
          </w:p>
          <w:p w14:paraId="08F97F1B" w14:textId="7DA0452E" w:rsidR="000E44CE" w:rsidRPr="00AE1F48" w:rsidRDefault="00283526" w:rsidP="000E44CE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1</w:t>
            </w:r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>6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. </w:t>
            </w:r>
            <w:r w:rsidR="002D2B90">
              <w:rPr>
                <w:rFonts w:cstheme="minorHAnsi"/>
                <w:szCs w:val="20"/>
                <w:shd w:val="clear" w:color="auto" w:fill="FFFFFF" w:themeFill="background1"/>
              </w:rPr>
              <w:t>Znaczenie Prawa starotestamentalnego w nauczaniu św. Pawła Apostoła.</w:t>
            </w:r>
          </w:p>
          <w:p w14:paraId="428E042A" w14:textId="4D73F50F" w:rsidR="00FC6CE1" w:rsidRPr="00AE1F48" w:rsidRDefault="00FC6CE1" w:rsidP="00AE1F48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</w:p>
        </w:tc>
      </w:tr>
    </w:tbl>
    <w:p w14:paraId="618A6823" w14:textId="77777777" w:rsidR="00FC6CE1" w:rsidRPr="00FC6CE1" w:rsidRDefault="00FC6CE1" w:rsidP="00FC6CE1">
      <w:pPr>
        <w:rPr>
          <w:b/>
        </w:rPr>
      </w:pPr>
    </w:p>
    <w:p w14:paraId="15C9EF78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1"/>
        <w:gridCol w:w="2612"/>
        <w:gridCol w:w="2716"/>
        <w:gridCol w:w="2503"/>
      </w:tblGrid>
      <w:tr w:rsidR="00450FA6" w14:paraId="1953D964" w14:textId="77777777" w:rsidTr="00307E32">
        <w:tc>
          <w:tcPr>
            <w:tcW w:w="1231" w:type="dxa"/>
            <w:vAlign w:val="center"/>
          </w:tcPr>
          <w:p w14:paraId="7EF47F85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75" w:type="dxa"/>
            <w:vAlign w:val="center"/>
          </w:tcPr>
          <w:p w14:paraId="04CD029D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47E9E6B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14" w:type="dxa"/>
            <w:vAlign w:val="center"/>
          </w:tcPr>
          <w:p w14:paraId="73452F0E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402B22D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68" w:type="dxa"/>
            <w:vAlign w:val="center"/>
          </w:tcPr>
          <w:p w14:paraId="51E4B4ED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4DFDB69F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427236AC" w14:textId="77777777" w:rsidTr="00307E32">
        <w:tc>
          <w:tcPr>
            <w:tcW w:w="9288" w:type="dxa"/>
            <w:gridSpan w:val="4"/>
            <w:vAlign w:val="center"/>
          </w:tcPr>
          <w:p w14:paraId="40C78CD2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307E32" w14:paraId="33EE70A2" w14:textId="77777777" w:rsidTr="00307E32">
        <w:tc>
          <w:tcPr>
            <w:tcW w:w="1231" w:type="dxa"/>
          </w:tcPr>
          <w:p w14:paraId="32A82AEB" w14:textId="77777777" w:rsidR="00307E32" w:rsidRPr="009162EB" w:rsidRDefault="00307E32" w:rsidP="00EC39B3">
            <w:r w:rsidRPr="009162EB">
              <w:t>Un_B_W01</w:t>
            </w:r>
          </w:p>
        </w:tc>
        <w:tc>
          <w:tcPr>
            <w:tcW w:w="2675" w:type="dxa"/>
          </w:tcPr>
          <w:p w14:paraId="78834951" w14:textId="0977690B" w:rsidR="00307E32" w:rsidRDefault="00A36ED7" w:rsidP="002D1A52">
            <w:r>
              <w:t>Praca z tekstem</w:t>
            </w:r>
          </w:p>
        </w:tc>
        <w:tc>
          <w:tcPr>
            <w:tcW w:w="2814" w:type="dxa"/>
          </w:tcPr>
          <w:p w14:paraId="5FA0A15C" w14:textId="272A3869" w:rsidR="00307E32" w:rsidRDefault="00A36ED7" w:rsidP="002D1A52">
            <w:r>
              <w:t>Kolokwium</w:t>
            </w:r>
          </w:p>
        </w:tc>
        <w:tc>
          <w:tcPr>
            <w:tcW w:w="2568" w:type="dxa"/>
          </w:tcPr>
          <w:p w14:paraId="305B26DB" w14:textId="151BA701" w:rsidR="00307E32" w:rsidRDefault="00A36ED7" w:rsidP="002D1A52">
            <w:r w:rsidRPr="00510DC0">
              <w:t>Uzupełnione i ocenione kolokwium</w:t>
            </w:r>
          </w:p>
        </w:tc>
      </w:tr>
      <w:tr w:rsidR="00307E32" w14:paraId="64E0AC87" w14:textId="77777777" w:rsidTr="00307E32">
        <w:tc>
          <w:tcPr>
            <w:tcW w:w="1231" w:type="dxa"/>
          </w:tcPr>
          <w:p w14:paraId="5D63BEDB" w14:textId="77777777" w:rsidR="00307E32" w:rsidRDefault="00307E32" w:rsidP="00EC39B3">
            <w:r w:rsidRPr="009162EB">
              <w:t>Un_B_W02</w:t>
            </w:r>
          </w:p>
        </w:tc>
        <w:tc>
          <w:tcPr>
            <w:tcW w:w="2675" w:type="dxa"/>
          </w:tcPr>
          <w:p w14:paraId="569DC6C0" w14:textId="7CDD9021" w:rsidR="00307E32" w:rsidRDefault="00A36ED7" w:rsidP="002D1A52">
            <w:r>
              <w:t>Wykład konwencjonalny</w:t>
            </w:r>
          </w:p>
        </w:tc>
        <w:tc>
          <w:tcPr>
            <w:tcW w:w="2814" w:type="dxa"/>
          </w:tcPr>
          <w:p w14:paraId="7DDEA2DD" w14:textId="614E4679" w:rsidR="00307E32" w:rsidRDefault="00A36ED7" w:rsidP="002D1A52">
            <w:r>
              <w:t>Egzamin pisemny</w:t>
            </w:r>
          </w:p>
        </w:tc>
        <w:tc>
          <w:tcPr>
            <w:tcW w:w="2568" w:type="dxa"/>
          </w:tcPr>
          <w:p w14:paraId="611B06CC" w14:textId="6D309118" w:rsidR="00307E32" w:rsidRDefault="00A36ED7" w:rsidP="002D1A52">
            <w:r>
              <w:t>Karta egzaminacyjna</w:t>
            </w:r>
          </w:p>
        </w:tc>
      </w:tr>
      <w:tr w:rsidR="00450FA6" w14:paraId="4B59688D" w14:textId="77777777" w:rsidTr="00307E32">
        <w:tc>
          <w:tcPr>
            <w:tcW w:w="9288" w:type="dxa"/>
            <w:gridSpan w:val="4"/>
            <w:vAlign w:val="center"/>
          </w:tcPr>
          <w:p w14:paraId="1A47B0E1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0B8E5046" w14:textId="77777777" w:rsidTr="00307E32">
        <w:tc>
          <w:tcPr>
            <w:tcW w:w="1231" w:type="dxa"/>
          </w:tcPr>
          <w:p w14:paraId="400CC7A2" w14:textId="77777777" w:rsidR="00450FA6" w:rsidRDefault="00307E32" w:rsidP="00262167">
            <w:r w:rsidRPr="00307E32">
              <w:t>Un_B_U01</w:t>
            </w:r>
          </w:p>
        </w:tc>
        <w:tc>
          <w:tcPr>
            <w:tcW w:w="2675" w:type="dxa"/>
          </w:tcPr>
          <w:p w14:paraId="45536698" w14:textId="5BB192FC" w:rsidR="00450FA6" w:rsidRDefault="00A36ED7" w:rsidP="002D1A52">
            <w:r>
              <w:t>Burza mózgów</w:t>
            </w:r>
          </w:p>
        </w:tc>
        <w:tc>
          <w:tcPr>
            <w:tcW w:w="2814" w:type="dxa"/>
          </w:tcPr>
          <w:p w14:paraId="2B93BFC5" w14:textId="0BDAA0C0" w:rsidR="00450FA6" w:rsidRDefault="00A36ED7" w:rsidP="002D1A52">
            <w:r>
              <w:t>Prezentacja</w:t>
            </w:r>
          </w:p>
        </w:tc>
        <w:tc>
          <w:tcPr>
            <w:tcW w:w="2568" w:type="dxa"/>
          </w:tcPr>
          <w:p w14:paraId="5E30A748" w14:textId="5D5595B4" w:rsidR="00450FA6" w:rsidRDefault="00A36ED7" w:rsidP="002D1A52">
            <w:r w:rsidRPr="00510DC0">
              <w:t>Karta oceny prezentacji</w:t>
            </w:r>
          </w:p>
        </w:tc>
      </w:tr>
    </w:tbl>
    <w:p w14:paraId="6DAA3C1C" w14:textId="77777777" w:rsidR="00C961A5" w:rsidRDefault="00C961A5" w:rsidP="004E2DB4">
      <w:pPr>
        <w:spacing w:after="0"/>
      </w:pPr>
    </w:p>
    <w:p w14:paraId="36D0DE3B" w14:textId="77777777" w:rsidR="003C473D" w:rsidRDefault="003C473D" w:rsidP="003C473D">
      <w:pPr>
        <w:pStyle w:val="Akapitzlist"/>
        <w:ind w:left="1080"/>
        <w:rPr>
          <w:b/>
        </w:rPr>
      </w:pPr>
    </w:p>
    <w:p w14:paraId="05EA522E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0A3ED449" w14:textId="77777777" w:rsidR="00194FC9" w:rsidRPr="00194FC9" w:rsidRDefault="00194FC9" w:rsidP="00194FC9">
      <w:pPr>
        <w:spacing w:after="0"/>
        <w:rPr>
          <w:rFonts w:cstheme="minorHAnsi"/>
          <w:bCs/>
          <w:sz w:val="24"/>
          <w:szCs w:val="24"/>
        </w:rPr>
      </w:pPr>
      <w:r w:rsidRPr="00194FC9">
        <w:rPr>
          <w:rFonts w:cstheme="minorHAnsi"/>
          <w:bCs/>
          <w:sz w:val="24"/>
          <w:szCs w:val="24"/>
        </w:rPr>
        <w:t>Na ocenę końcową składają się następujące komponenty:</w:t>
      </w:r>
    </w:p>
    <w:p w14:paraId="2762AA9F" w14:textId="455B47CE" w:rsidR="00194FC9" w:rsidRPr="00194FC9" w:rsidRDefault="00194FC9" w:rsidP="00194FC9">
      <w:pPr>
        <w:pStyle w:val="Bezodstpw"/>
        <w:rPr>
          <w:sz w:val="24"/>
          <w:szCs w:val="24"/>
        </w:rPr>
      </w:pPr>
      <w:r w:rsidRPr="00194FC9">
        <w:rPr>
          <w:sz w:val="24"/>
          <w:szCs w:val="24"/>
        </w:rPr>
        <w:t>1. Aktywność studentów podczas zajęć: wypowiedzi ustne, dialogi (20 % oceny)</w:t>
      </w:r>
      <w:r>
        <w:rPr>
          <w:sz w:val="24"/>
          <w:szCs w:val="24"/>
        </w:rPr>
        <w:t>.</w:t>
      </w:r>
    </w:p>
    <w:p w14:paraId="0F384EC9" w14:textId="4E0DC413" w:rsidR="00194FC9" w:rsidRPr="00194FC9" w:rsidRDefault="00194FC9" w:rsidP="00194FC9">
      <w:pPr>
        <w:pStyle w:val="Bezodstpw"/>
        <w:rPr>
          <w:sz w:val="24"/>
          <w:szCs w:val="24"/>
        </w:rPr>
      </w:pPr>
      <w:r w:rsidRPr="00194FC9">
        <w:rPr>
          <w:sz w:val="24"/>
          <w:szCs w:val="24"/>
        </w:rPr>
        <w:t xml:space="preserve">2. Wynik </w:t>
      </w:r>
      <w:r>
        <w:rPr>
          <w:sz w:val="24"/>
          <w:szCs w:val="24"/>
        </w:rPr>
        <w:t xml:space="preserve">kolokwium i </w:t>
      </w:r>
      <w:r w:rsidRPr="00194FC9">
        <w:rPr>
          <w:sz w:val="24"/>
          <w:szCs w:val="24"/>
        </w:rPr>
        <w:t>końcowego egzaminu pisemnego (80%).</w:t>
      </w:r>
    </w:p>
    <w:p w14:paraId="364F7E40" w14:textId="77777777" w:rsidR="00194FC9" w:rsidRPr="00FF1984" w:rsidRDefault="00194FC9" w:rsidP="00194FC9">
      <w:pPr>
        <w:pStyle w:val="Bezodstpw"/>
      </w:pPr>
    </w:p>
    <w:p w14:paraId="7E333142" w14:textId="77777777" w:rsidR="00194FC9" w:rsidRPr="00194FC9" w:rsidRDefault="00194FC9" w:rsidP="00194FC9">
      <w:pPr>
        <w:spacing w:after="0"/>
        <w:rPr>
          <w:rFonts w:cstheme="minorHAnsi"/>
          <w:b/>
          <w:bCs/>
          <w:sz w:val="24"/>
          <w:szCs w:val="24"/>
        </w:rPr>
      </w:pPr>
      <w:r w:rsidRPr="00194FC9">
        <w:rPr>
          <w:rFonts w:cstheme="minorHAnsi"/>
          <w:b/>
          <w:bCs/>
          <w:sz w:val="24"/>
          <w:szCs w:val="24"/>
        </w:rPr>
        <w:t xml:space="preserve">Ocena niedostateczna: </w:t>
      </w:r>
    </w:p>
    <w:p w14:paraId="6DCC2578" w14:textId="77777777" w:rsidR="00194FC9" w:rsidRDefault="00194FC9" w:rsidP="00194FC9">
      <w:pPr>
        <w:spacing w:after="0"/>
        <w:rPr>
          <w:b/>
          <w:bCs/>
          <w:sz w:val="24"/>
          <w:szCs w:val="24"/>
        </w:rPr>
      </w:pPr>
      <w:r w:rsidRPr="00194FC9">
        <w:rPr>
          <w:rFonts w:cstheme="minorHAnsi"/>
          <w:sz w:val="24"/>
          <w:szCs w:val="24"/>
        </w:rPr>
        <w:t>brak podstawowej wiedzy, umiejętności, kompetencji w zakresie wytyczonym przez cele przedmiotu, wymagania i efekty kształcenia </w:t>
      </w:r>
      <w:r w:rsidRPr="00194FC9">
        <w:rPr>
          <w:sz w:val="24"/>
          <w:szCs w:val="24"/>
        </w:rPr>
        <w:br/>
      </w:r>
    </w:p>
    <w:p w14:paraId="0CF5B2AE" w14:textId="37485AB2" w:rsidR="00194FC9" w:rsidRPr="00194FC9" w:rsidRDefault="00194FC9" w:rsidP="00194FC9">
      <w:pPr>
        <w:spacing w:after="0"/>
        <w:rPr>
          <w:sz w:val="24"/>
          <w:szCs w:val="24"/>
        </w:rPr>
      </w:pPr>
      <w:r w:rsidRPr="00194FC9">
        <w:rPr>
          <w:b/>
          <w:bCs/>
          <w:sz w:val="24"/>
          <w:szCs w:val="24"/>
        </w:rPr>
        <w:t>Ocena dostateczna:</w:t>
      </w:r>
    </w:p>
    <w:p w14:paraId="10916B19" w14:textId="77777777" w:rsidR="00194FC9" w:rsidRDefault="00194FC9" w:rsidP="00194FC9">
      <w:pPr>
        <w:spacing w:after="0"/>
        <w:rPr>
          <w:rFonts w:cstheme="minorHAnsi"/>
          <w:sz w:val="24"/>
          <w:szCs w:val="24"/>
        </w:rPr>
      </w:pPr>
      <w:r w:rsidRPr="00194FC9">
        <w:rPr>
          <w:rFonts w:cstheme="minorHAnsi"/>
          <w:sz w:val="24"/>
          <w:szCs w:val="24"/>
        </w:rPr>
        <w:t>zadowalająca wiedza, umiejętności i kompetencje w zakresie wytyczonym przez cele przedmiotu, wymagania i efekty kształcenia </w:t>
      </w:r>
    </w:p>
    <w:p w14:paraId="48D480DF" w14:textId="6DCDF087" w:rsidR="00194FC9" w:rsidRPr="00194FC9" w:rsidRDefault="00194FC9" w:rsidP="00194FC9">
      <w:pPr>
        <w:spacing w:after="0"/>
        <w:rPr>
          <w:sz w:val="24"/>
          <w:szCs w:val="24"/>
        </w:rPr>
      </w:pPr>
      <w:r w:rsidRPr="00194FC9">
        <w:rPr>
          <w:sz w:val="24"/>
          <w:szCs w:val="24"/>
        </w:rPr>
        <w:br/>
      </w:r>
      <w:r w:rsidRPr="00194FC9">
        <w:rPr>
          <w:b/>
          <w:bCs/>
          <w:sz w:val="24"/>
          <w:szCs w:val="24"/>
        </w:rPr>
        <w:t>Ocena dobra:</w:t>
      </w:r>
    </w:p>
    <w:p w14:paraId="16A6506E" w14:textId="77777777" w:rsidR="00194FC9" w:rsidRDefault="00194FC9" w:rsidP="00194FC9">
      <w:pPr>
        <w:spacing w:after="0"/>
        <w:rPr>
          <w:rFonts w:cstheme="minorHAnsi"/>
          <w:sz w:val="24"/>
          <w:szCs w:val="24"/>
        </w:rPr>
      </w:pPr>
      <w:r w:rsidRPr="00194FC9">
        <w:rPr>
          <w:rFonts w:cstheme="minorHAnsi"/>
          <w:sz w:val="24"/>
          <w:szCs w:val="24"/>
        </w:rPr>
        <w:t>gruntowna wiedza, umiejętności i kompetencje w zakresie wytyczonym przez cele przedmiotu, wymagania i efekty kształcenia </w:t>
      </w:r>
    </w:p>
    <w:p w14:paraId="1B60C5AD" w14:textId="35C661E5" w:rsidR="00194FC9" w:rsidRPr="00194FC9" w:rsidRDefault="00194FC9" w:rsidP="00194FC9">
      <w:pPr>
        <w:spacing w:after="0"/>
        <w:rPr>
          <w:sz w:val="24"/>
          <w:szCs w:val="24"/>
        </w:rPr>
      </w:pPr>
      <w:r w:rsidRPr="00194FC9">
        <w:rPr>
          <w:sz w:val="24"/>
          <w:szCs w:val="24"/>
        </w:rPr>
        <w:br/>
      </w:r>
      <w:r w:rsidRPr="00194FC9">
        <w:rPr>
          <w:b/>
          <w:bCs/>
          <w:sz w:val="24"/>
          <w:szCs w:val="24"/>
        </w:rPr>
        <w:t>Ocena bardzo dobra:</w:t>
      </w:r>
    </w:p>
    <w:p w14:paraId="095F72E6" w14:textId="6A8C4F71" w:rsidR="00BD58F9" w:rsidRPr="00194FC9" w:rsidRDefault="00194FC9" w:rsidP="00194FC9">
      <w:pPr>
        <w:rPr>
          <w:b/>
        </w:rPr>
      </w:pPr>
      <w:r w:rsidRPr="00194FC9">
        <w:rPr>
          <w:rFonts w:cstheme="minorHAnsi"/>
          <w:sz w:val="24"/>
          <w:szCs w:val="24"/>
        </w:rPr>
        <w:t>pogłębiona i poszerzona w wyniku własnych studiów i poszukiwań badawczych wiedza, umiejętności i kompetencje w zakresie wytyczonym przez cele przedmiotu, wymagania i efekty kształcenia.</w:t>
      </w:r>
    </w:p>
    <w:p w14:paraId="2DC7A045" w14:textId="7F676748" w:rsidR="003C473D" w:rsidRDefault="003C473D">
      <w:pPr>
        <w:rPr>
          <w:b/>
        </w:rPr>
      </w:pPr>
    </w:p>
    <w:p w14:paraId="5E5C522D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14796395" w14:textId="77777777" w:rsidTr="004E2DB4">
        <w:tc>
          <w:tcPr>
            <w:tcW w:w="4606" w:type="dxa"/>
          </w:tcPr>
          <w:p w14:paraId="16C983C2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4BD0632C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C84E422" w14:textId="77777777" w:rsidTr="004E2DB4">
        <w:tc>
          <w:tcPr>
            <w:tcW w:w="4606" w:type="dxa"/>
          </w:tcPr>
          <w:p w14:paraId="0FEE0161" w14:textId="77777777" w:rsidR="004E2DB4" w:rsidRDefault="004E2DB4" w:rsidP="004E2DB4">
            <w:r>
              <w:t xml:space="preserve">Liczba godzin kontaktowych z nauczycielem </w:t>
            </w:r>
          </w:p>
          <w:p w14:paraId="38B7AD32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97C3186" w14:textId="77777777" w:rsidR="004E2DB4" w:rsidRDefault="00307E32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17183EF2" w14:textId="77777777" w:rsidTr="004E2DB4">
        <w:tc>
          <w:tcPr>
            <w:tcW w:w="4606" w:type="dxa"/>
          </w:tcPr>
          <w:p w14:paraId="0130A8F9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42CF09E9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BBC04FE" w14:textId="77777777" w:rsidR="004E2DB4" w:rsidRDefault="00307E32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18338602" w14:textId="77777777" w:rsidR="004E2DB4" w:rsidRDefault="004E2DB4" w:rsidP="004E2DB4">
      <w:pPr>
        <w:spacing w:after="0"/>
        <w:rPr>
          <w:b/>
        </w:rPr>
      </w:pPr>
    </w:p>
    <w:p w14:paraId="0BA8C822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0DD8D5E0" w14:textId="77777777" w:rsidTr="004E2DB4">
        <w:tc>
          <w:tcPr>
            <w:tcW w:w="9212" w:type="dxa"/>
          </w:tcPr>
          <w:p w14:paraId="651265D0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A36ED7" w14:paraId="390488D3" w14:textId="77777777" w:rsidTr="004E2DB4">
        <w:tc>
          <w:tcPr>
            <w:tcW w:w="9212" w:type="dxa"/>
          </w:tcPr>
          <w:p w14:paraId="2DCB2B7E" w14:textId="77777777" w:rsidR="00A36ED7" w:rsidRPr="00510DC0" w:rsidRDefault="00A36ED7" w:rsidP="00A36ED7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1) M. Starowiejski,</w:t>
            </w:r>
            <w:r w:rsidRPr="00510DC0">
              <w:rPr>
                <w:rFonts w:cstheme="minorHAnsi"/>
                <w:szCs w:val="20"/>
              </w:rPr>
              <w:t xml:space="preserve"> 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Tradycje biblijne. Biblia w kulturze europejskiej (Kraków: Petrus 2011) 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  <w:t>2) T. Jelonek, Biblia jako fenomen kulturowy (Kraków: Petrus 2012) 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  <w:t xml:space="preserve">3) L. Stachowiak (red.), Wstęp do Starego Testamentu (Poznań: </w:t>
            </w:r>
            <w:proofErr w:type="spellStart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Pallotinum</w:t>
            </w:r>
            <w:proofErr w:type="spellEnd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1990) 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  <w:t xml:space="preserve">4) R. Rubinkiewicz (red.), Wstęp do Nowego Testamentu (Poznań-Warszawa: </w:t>
            </w:r>
            <w:proofErr w:type="spellStart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Pallottinum</w:t>
            </w:r>
            <w:proofErr w:type="spellEnd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1996). </w:t>
            </w:r>
          </w:p>
          <w:p w14:paraId="40255A3C" w14:textId="77777777" w:rsidR="004E2DB4" w:rsidRDefault="00A36ED7" w:rsidP="00A36ED7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510DC0">
              <w:rPr>
                <w:rFonts w:cstheme="minorHAnsi"/>
                <w:szCs w:val="20"/>
              </w:rPr>
              <w:t xml:space="preserve">5) J. Szlaga (red.), 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Wstęp ogólny do Pisma św. (Poznań-Warszawa: </w:t>
            </w:r>
            <w:proofErr w:type="spellStart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Pallottinum</w:t>
            </w:r>
            <w:proofErr w:type="spellEnd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1986).</w:t>
            </w:r>
          </w:p>
          <w:p w14:paraId="7878E065" w14:textId="2844C5F8" w:rsidR="00A36ED7" w:rsidRDefault="007569A5" w:rsidP="002D2B90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>6) R. Krawczyk, „Prawa człowieka w Biblii”, Historia i świat 1 (2012) 149-162.</w:t>
            </w:r>
          </w:p>
          <w:p w14:paraId="5291A8C6" w14:textId="166E4A77" w:rsidR="007569A5" w:rsidRPr="002D2B90" w:rsidRDefault="007569A5" w:rsidP="002D2B90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7) S. </w:t>
            </w:r>
            <w:proofErr w:type="spellStart"/>
            <w:r>
              <w:rPr>
                <w:rFonts w:cstheme="minorHAnsi"/>
                <w:szCs w:val="20"/>
                <w:shd w:val="clear" w:color="auto" w:fill="FFFFFF" w:themeFill="background1"/>
              </w:rPr>
              <w:t>Łucarz</w:t>
            </w:r>
            <w:proofErr w:type="spellEnd"/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, „Prawa człowieka i prawa narodów z perspektywy biblijnej”, Prawa człowieka, prawa narodów (red. Z. </w:t>
            </w:r>
            <w:proofErr w:type="spellStart"/>
            <w:r>
              <w:rPr>
                <w:rFonts w:cstheme="minorHAnsi"/>
                <w:szCs w:val="20"/>
                <w:shd w:val="clear" w:color="auto" w:fill="FFFFFF" w:themeFill="background1"/>
              </w:rPr>
              <w:t>Zarębianka</w:t>
            </w:r>
            <w:proofErr w:type="spellEnd"/>
            <w:r>
              <w:rPr>
                <w:rFonts w:cstheme="minorHAnsi"/>
                <w:szCs w:val="20"/>
                <w:shd w:val="clear" w:color="auto" w:fill="FFFFFF" w:themeFill="background1"/>
              </w:rPr>
              <w:t>) (Kraków 2018) 17-28.</w:t>
            </w:r>
          </w:p>
        </w:tc>
      </w:tr>
      <w:tr w:rsidR="004E2DB4" w14:paraId="27E600C5" w14:textId="77777777" w:rsidTr="004E2DB4">
        <w:tc>
          <w:tcPr>
            <w:tcW w:w="9212" w:type="dxa"/>
          </w:tcPr>
          <w:p w14:paraId="7E01D8C5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5FC1A90C" w14:textId="77777777" w:rsidTr="004E2DB4">
        <w:tc>
          <w:tcPr>
            <w:tcW w:w="9212" w:type="dxa"/>
          </w:tcPr>
          <w:p w14:paraId="7E8ECB1C" w14:textId="77777777" w:rsidR="00A36ED7" w:rsidRPr="00510DC0" w:rsidRDefault="00A36ED7" w:rsidP="00A36ED7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lastRenderedPageBreak/>
              <w:t xml:space="preserve">1) Biblia a literatura polska. Antologia (oprac. K. Bukowski) (Poznań 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  <w:vertAlign w:val="superscript"/>
              </w:rPr>
              <w:t>3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2003).</w:t>
            </w:r>
          </w:p>
          <w:p w14:paraId="4712F56C" w14:textId="7880D813" w:rsidR="00A36ED7" w:rsidRPr="00510DC0" w:rsidRDefault="00A36ED7" w:rsidP="00A36ED7">
            <w:pPr>
              <w:rPr>
                <w:rFonts w:cstheme="minorHAnsi"/>
                <w:szCs w:val="20"/>
                <w:shd w:val="clear" w:color="auto" w:fill="FFFFFF" w:themeFill="background1"/>
              </w:rPr>
            </w:pP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2) Janos R., Biblia między literaturą a teologią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(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Kraków 2007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).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 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  <w:t xml:space="preserve">3) Jelonek T., Biblia a nauka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(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Kraków 1995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).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 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  <w:t xml:space="preserve">4) Jelonek T., Biblia w kulturze świata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(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Kraków 2007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).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 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  <w:t xml:space="preserve">5) </w:t>
            </w:r>
            <w:proofErr w:type="spellStart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Kudasiewicz</w:t>
            </w:r>
            <w:proofErr w:type="spellEnd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J., Biblia - historia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–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nauka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 xml:space="preserve"> (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Kraków 1987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).</w:t>
            </w:r>
            <w:r w:rsidRPr="00510DC0">
              <w:rPr>
                <w:rFonts w:cstheme="minorHAnsi"/>
                <w:strike/>
                <w:szCs w:val="20"/>
                <w:shd w:val="clear" w:color="auto" w:fill="FFFFFF" w:themeFill="background1"/>
              </w:rPr>
              <w:br/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6) Paciorek A., Wstęp ogólny do Pisma św.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(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Tarnów 2003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).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 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  <w:t xml:space="preserve">7) Paciorek A. - </w:t>
            </w:r>
            <w:proofErr w:type="spellStart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Kramiszewska</w:t>
            </w:r>
            <w:proofErr w:type="spellEnd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A., Pan rzeczywiście zmartwychwstał. </w:t>
            </w:r>
            <w:proofErr w:type="spellStart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Nowotestementalne</w:t>
            </w:r>
            <w:proofErr w:type="spellEnd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orędzie o zmartwychwstaniu Jezusa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(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Tarnów 2010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).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 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</w:r>
            <w:r w:rsidR="007569A5">
              <w:rPr>
                <w:rFonts w:cstheme="minorHAnsi"/>
                <w:szCs w:val="20"/>
                <w:shd w:val="clear" w:color="auto" w:fill="FFFFFF" w:themeFill="background1"/>
              </w:rPr>
              <w:t>8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) </w:t>
            </w:r>
            <w:proofErr w:type="spellStart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Pikor</w:t>
            </w:r>
            <w:proofErr w:type="spellEnd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W., Jak powstało Pismo Święte?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(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Kielce 2010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).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 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</w:r>
            <w:r w:rsidR="007569A5">
              <w:rPr>
                <w:rFonts w:cstheme="minorHAnsi"/>
                <w:szCs w:val="20"/>
                <w:shd w:val="clear" w:color="auto" w:fill="FFFFFF" w:themeFill="background1"/>
              </w:rPr>
              <w:t>9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) </w:t>
            </w:r>
            <w:proofErr w:type="spellStart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Ravasi</w:t>
            </w:r>
            <w:proofErr w:type="spellEnd"/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 G., Piękno Biblii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(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Kraków 2006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).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 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br/>
              <w:t>1</w:t>
            </w:r>
            <w:r w:rsidR="007569A5">
              <w:rPr>
                <w:rFonts w:cstheme="minorHAnsi"/>
                <w:szCs w:val="20"/>
                <w:shd w:val="clear" w:color="auto" w:fill="FFFFFF" w:themeFill="background1"/>
              </w:rPr>
              <w:t>0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 xml:space="preserve">) Synowiec J., Początki świata i ludzkości według Księgi Rodzaju 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(</w:t>
            </w:r>
            <w:r w:rsidRPr="00510DC0">
              <w:rPr>
                <w:rFonts w:cstheme="minorHAnsi"/>
                <w:szCs w:val="20"/>
                <w:shd w:val="clear" w:color="auto" w:fill="FFFFFF" w:themeFill="background1"/>
              </w:rPr>
              <w:t>Kraków 2001</w:t>
            </w:r>
            <w:r>
              <w:rPr>
                <w:rFonts w:cstheme="minorHAnsi"/>
                <w:szCs w:val="20"/>
                <w:shd w:val="clear" w:color="auto" w:fill="FFFFFF" w:themeFill="background1"/>
              </w:rPr>
              <w:t>).</w:t>
            </w:r>
          </w:p>
          <w:p w14:paraId="3DB83B24" w14:textId="2BCD4B76" w:rsidR="004E2DB4" w:rsidRDefault="00A36ED7" w:rsidP="00A36ED7">
            <w:pPr>
              <w:rPr>
                <w:b/>
              </w:rPr>
            </w:pPr>
            <w:r w:rsidRPr="00510DC0">
              <w:rPr>
                <w:rFonts w:cstheme="minorHAnsi"/>
                <w:bCs/>
                <w:szCs w:val="20"/>
              </w:rPr>
              <w:t>1</w:t>
            </w:r>
            <w:r w:rsidR="007569A5">
              <w:rPr>
                <w:rFonts w:cstheme="minorHAnsi"/>
                <w:bCs/>
                <w:szCs w:val="20"/>
              </w:rPr>
              <w:t>1</w:t>
            </w:r>
            <w:r w:rsidRPr="00510DC0">
              <w:rPr>
                <w:rFonts w:cstheme="minorHAnsi"/>
                <w:bCs/>
                <w:szCs w:val="20"/>
              </w:rPr>
              <w:t>) Szymik S. (red.), Biblia kodem kulturowym Europy (</w:t>
            </w:r>
            <w:proofErr w:type="spellStart"/>
            <w:r w:rsidRPr="00510DC0">
              <w:rPr>
                <w:rFonts w:cstheme="minorHAnsi"/>
                <w:bCs/>
                <w:szCs w:val="20"/>
              </w:rPr>
              <w:t>Analecta</w:t>
            </w:r>
            <w:proofErr w:type="spellEnd"/>
            <w:r w:rsidRPr="00510DC0">
              <w:rPr>
                <w:rFonts w:cstheme="minorHAnsi"/>
                <w:bCs/>
                <w:szCs w:val="20"/>
              </w:rPr>
              <w:t xml:space="preserve"> </w:t>
            </w:r>
            <w:proofErr w:type="spellStart"/>
            <w:r w:rsidRPr="00510DC0">
              <w:rPr>
                <w:rFonts w:cstheme="minorHAnsi"/>
                <w:bCs/>
                <w:szCs w:val="20"/>
              </w:rPr>
              <w:t>Biblica</w:t>
            </w:r>
            <w:proofErr w:type="spellEnd"/>
            <w:r w:rsidRPr="00510DC0">
              <w:rPr>
                <w:rFonts w:cstheme="minorHAnsi"/>
                <w:bCs/>
                <w:szCs w:val="20"/>
              </w:rPr>
              <w:t xml:space="preserve"> </w:t>
            </w:r>
            <w:proofErr w:type="spellStart"/>
            <w:r w:rsidRPr="00510DC0">
              <w:rPr>
                <w:rFonts w:cstheme="minorHAnsi"/>
                <w:bCs/>
                <w:szCs w:val="20"/>
              </w:rPr>
              <w:t>Lublinensia</w:t>
            </w:r>
            <w:proofErr w:type="spellEnd"/>
            <w:r w:rsidRPr="00510DC0">
              <w:rPr>
                <w:rFonts w:cstheme="minorHAnsi"/>
                <w:bCs/>
                <w:szCs w:val="20"/>
              </w:rPr>
              <w:t xml:space="preserve"> 9; Lublin 2013).</w:t>
            </w:r>
          </w:p>
        </w:tc>
      </w:tr>
    </w:tbl>
    <w:p w14:paraId="237F0A74" w14:textId="77777777" w:rsidR="004E2DB4" w:rsidRDefault="004E2DB4" w:rsidP="004E2DB4">
      <w:pPr>
        <w:spacing w:after="0"/>
        <w:rPr>
          <w:b/>
        </w:rPr>
      </w:pPr>
    </w:p>
    <w:p w14:paraId="5BC0B67E" w14:textId="77777777" w:rsidR="00C961A5" w:rsidRPr="002D1A52" w:rsidRDefault="00C961A5" w:rsidP="002D1A52"/>
    <w:sectPr w:rsidR="00C961A5" w:rsidRPr="002D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6F43" w14:textId="77777777" w:rsidR="001024BC" w:rsidRDefault="001024BC" w:rsidP="00B04272">
      <w:pPr>
        <w:spacing w:after="0" w:line="240" w:lineRule="auto"/>
      </w:pPr>
      <w:r>
        <w:separator/>
      </w:r>
    </w:p>
  </w:endnote>
  <w:endnote w:type="continuationSeparator" w:id="0">
    <w:p w14:paraId="6EC75F97" w14:textId="77777777" w:rsidR="001024BC" w:rsidRDefault="001024BC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2B0E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C4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4039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9B15" w14:textId="77777777" w:rsidR="001024BC" w:rsidRDefault="001024BC" w:rsidP="00B04272">
      <w:pPr>
        <w:spacing w:after="0" w:line="240" w:lineRule="auto"/>
      </w:pPr>
      <w:r>
        <w:separator/>
      </w:r>
    </w:p>
  </w:footnote>
  <w:footnote w:type="continuationSeparator" w:id="0">
    <w:p w14:paraId="520BAA32" w14:textId="77777777" w:rsidR="001024BC" w:rsidRDefault="001024BC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59FB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8E79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6FECB5FC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CF3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01336">
    <w:abstractNumId w:val="18"/>
  </w:num>
  <w:num w:numId="2" w16cid:durableId="218328736">
    <w:abstractNumId w:val="11"/>
  </w:num>
  <w:num w:numId="3" w16cid:durableId="1088310415">
    <w:abstractNumId w:val="22"/>
  </w:num>
  <w:num w:numId="4" w16cid:durableId="540940109">
    <w:abstractNumId w:val="24"/>
  </w:num>
  <w:num w:numId="5" w16cid:durableId="1079014489">
    <w:abstractNumId w:val="5"/>
  </w:num>
  <w:num w:numId="6" w16cid:durableId="565532639">
    <w:abstractNumId w:val="23"/>
  </w:num>
  <w:num w:numId="7" w16cid:durableId="1882093445">
    <w:abstractNumId w:val="4"/>
  </w:num>
  <w:num w:numId="8" w16cid:durableId="277952236">
    <w:abstractNumId w:val="17"/>
  </w:num>
  <w:num w:numId="9" w16cid:durableId="1509563647">
    <w:abstractNumId w:val="1"/>
  </w:num>
  <w:num w:numId="10" w16cid:durableId="436099348">
    <w:abstractNumId w:val="10"/>
  </w:num>
  <w:num w:numId="11" w16cid:durableId="1934628085">
    <w:abstractNumId w:val="13"/>
  </w:num>
  <w:num w:numId="12" w16cid:durableId="1544516516">
    <w:abstractNumId w:val="6"/>
  </w:num>
  <w:num w:numId="13" w16cid:durableId="528377614">
    <w:abstractNumId w:val="21"/>
  </w:num>
  <w:num w:numId="14" w16cid:durableId="1840847644">
    <w:abstractNumId w:val="20"/>
  </w:num>
  <w:num w:numId="15" w16cid:durableId="772626283">
    <w:abstractNumId w:val="0"/>
  </w:num>
  <w:num w:numId="16" w16cid:durableId="1621764533">
    <w:abstractNumId w:val="16"/>
  </w:num>
  <w:num w:numId="17" w16cid:durableId="1020737622">
    <w:abstractNumId w:val="8"/>
  </w:num>
  <w:num w:numId="18" w16cid:durableId="1877236944">
    <w:abstractNumId w:val="15"/>
  </w:num>
  <w:num w:numId="19" w16cid:durableId="298851552">
    <w:abstractNumId w:val="9"/>
  </w:num>
  <w:num w:numId="20" w16cid:durableId="1373573257">
    <w:abstractNumId w:val="2"/>
  </w:num>
  <w:num w:numId="21" w16cid:durableId="1703818407">
    <w:abstractNumId w:val="12"/>
  </w:num>
  <w:num w:numId="22" w16cid:durableId="1905868849">
    <w:abstractNumId w:val="14"/>
  </w:num>
  <w:num w:numId="23" w16cid:durableId="2142965156">
    <w:abstractNumId w:val="7"/>
  </w:num>
  <w:num w:numId="24" w16cid:durableId="122769656">
    <w:abstractNumId w:val="3"/>
  </w:num>
  <w:num w:numId="25" w16cid:durableId="6852514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53A0"/>
    <w:rsid w:val="000351F2"/>
    <w:rsid w:val="00047D65"/>
    <w:rsid w:val="0005709E"/>
    <w:rsid w:val="0008336E"/>
    <w:rsid w:val="00084ADA"/>
    <w:rsid w:val="000B3BEC"/>
    <w:rsid w:val="000E44CE"/>
    <w:rsid w:val="001024BC"/>
    <w:rsid w:val="001051F5"/>
    <w:rsid w:val="00115BF8"/>
    <w:rsid w:val="00194FC9"/>
    <w:rsid w:val="001A5D37"/>
    <w:rsid w:val="001C0192"/>
    <w:rsid w:val="001C278A"/>
    <w:rsid w:val="00216EC6"/>
    <w:rsid w:val="002754C6"/>
    <w:rsid w:val="002778F0"/>
    <w:rsid w:val="00281A94"/>
    <w:rsid w:val="00283526"/>
    <w:rsid w:val="002D1A52"/>
    <w:rsid w:val="002D2B90"/>
    <w:rsid w:val="002F2985"/>
    <w:rsid w:val="00304259"/>
    <w:rsid w:val="00307E32"/>
    <w:rsid w:val="00317BBA"/>
    <w:rsid w:val="0033369E"/>
    <w:rsid w:val="003501E6"/>
    <w:rsid w:val="00363A94"/>
    <w:rsid w:val="00372079"/>
    <w:rsid w:val="003C473D"/>
    <w:rsid w:val="003C65DA"/>
    <w:rsid w:val="003D4626"/>
    <w:rsid w:val="004051F6"/>
    <w:rsid w:val="00450FA6"/>
    <w:rsid w:val="004B6F7B"/>
    <w:rsid w:val="004C3D25"/>
    <w:rsid w:val="004E2DB4"/>
    <w:rsid w:val="004F73CF"/>
    <w:rsid w:val="00556FCA"/>
    <w:rsid w:val="00583DB9"/>
    <w:rsid w:val="005A3D71"/>
    <w:rsid w:val="005F67DD"/>
    <w:rsid w:val="00646F79"/>
    <w:rsid w:val="006534C9"/>
    <w:rsid w:val="0066271E"/>
    <w:rsid w:val="00685044"/>
    <w:rsid w:val="00732E45"/>
    <w:rsid w:val="007569A5"/>
    <w:rsid w:val="00757261"/>
    <w:rsid w:val="007841B3"/>
    <w:rsid w:val="007D0038"/>
    <w:rsid w:val="007D6295"/>
    <w:rsid w:val="008209D5"/>
    <w:rsid w:val="008215CC"/>
    <w:rsid w:val="008E2C5B"/>
    <w:rsid w:val="008E4017"/>
    <w:rsid w:val="009168BF"/>
    <w:rsid w:val="00933F07"/>
    <w:rsid w:val="00966AC2"/>
    <w:rsid w:val="009D424F"/>
    <w:rsid w:val="00A36ED7"/>
    <w:rsid w:val="00A40520"/>
    <w:rsid w:val="00A5036D"/>
    <w:rsid w:val="00A55656"/>
    <w:rsid w:val="00A76589"/>
    <w:rsid w:val="00AE1F48"/>
    <w:rsid w:val="00B04272"/>
    <w:rsid w:val="00BC4DCB"/>
    <w:rsid w:val="00BD58F9"/>
    <w:rsid w:val="00BE454D"/>
    <w:rsid w:val="00C234C2"/>
    <w:rsid w:val="00C37A43"/>
    <w:rsid w:val="00C52E02"/>
    <w:rsid w:val="00C653FB"/>
    <w:rsid w:val="00C748B5"/>
    <w:rsid w:val="00C961A5"/>
    <w:rsid w:val="00CD7096"/>
    <w:rsid w:val="00CE6101"/>
    <w:rsid w:val="00D27DDC"/>
    <w:rsid w:val="00D406F6"/>
    <w:rsid w:val="00DB781E"/>
    <w:rsid w:val="00E35724"/>
    <w:rsid w:val="00E43C97"/>
    <w:rsid w:val="00ED3F40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D961"/>
  <w15:docId w15:val="{2ACC7BEE-2E57-4C08-B290-0EF15676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4FC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AA77-AF70-4530-B36B-86EE26AC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Krzysztof Smykowski</cp:lastModifiedBy>
  <cp:revision>2</cp:revision>
  <cp:lastPrinted>2019-01-23T11:10:00Z</cp:lastPrinted>
  <dcterms:created xsi:type="dcterms:W3CDTF">2024-02-14T09:34:00Z</dcterms:created>
  <dcterms:modified xsi:type="dcterms:W3CDTF">2024-02-14T09:34:00Z</dcterms:modified>
</cp:coreProperties>
</file>