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</w:rPr>
      </w:pPr>
      <w:r>
        <w:rPr>
          <w:b/>
        </w:rPr>
        <w:t xml:space="preserve">KARTA PRZEDMIOTU </w:t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Dane podstawowe</w:t>
      </w:r>
    </w:p>
    <w:tbl>
      <w:tblPr>
        <w:tblStyle w:val="Tabela-Siatka"/>
        <w:tblW w:w="92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05"/>
        <w:gridCol w:w="4605"/>
      </w:tblGrid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Nazwa przedmiotu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Współczesna globalna dyplomacja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Nazwa przedmiotu w języku angielskim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916" w:leader="none"/>
                <w:tab w:val="left" w:pos="1832" w:leader="none"/>
                <w:tab w:val="left" w:pos="2748" w:leader="none"/>
                <w:tab w:val="left" w:pos="3664" w:leader="none"/>
                <w:tab w:val="left" w:pos="4580" w:leader="none"/>
                <w:tab w:val="left" w:pos="5496" w:leader="none"/>
                <w:tab w:val="left" w:pos="6412" w:leader="none"/>
                <w:tab w:val="left" w:pos="7328" w:leader="none"/>
                <w:tab w:val="left" w:pos="8244" w:leader="none"/>
                <w:tab w:val="left" w:pos="9160" w:leader="none"/>
                <w:tab w:val="left" w:pos="10076" w:leader="none"/>
                <w:tab w:val="left" w:pos="10992" w:leader="none"/>
                <w:tab w:val="left" w:pos="11908" w:leader="none"/>
                <w:tab w:val="left" w:pos="12824" w:leader="none"/>
                <w:tab w:val="left" w:pos="13740" w:leader="none"/>
                <w:tab w:val="left" w:pos="14656" w:leader="none"/>
              </w:tabs>
              <w:suppressAutoHyphens w:val="true"/>
              <w:spacing w:lineRule="auto" w:line="240" w:before="0" w:after="0"/>
              <w:jc w:val="left"/>
              <w:rPr>
                <w:rFonts w:eastAsia="Times New Roman" w:cs="Calibri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="Calibri" w:cstheme="minorHAnsi"/>
                <w:sz w:val="24"/>
                <w:szCs w:val="24"/>
                <w:lang w:eastAsia="pl-PL"/>
              </w:rPr>
            </w:r>
          </w:p>
          <w:p>
            <w:pPr>
              <w:pStyle w:val="HTMLPreformatted"/>
              <w:widowControl w:val="false"/>
              <w:suppressAutoHyphens w:val="true"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 w:ascii="Calibri" w:hAnsi="Calibri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  <w:bCs/>
              </w:rPr>
            </w:pPr>
            <w:r>
              <w:rPr>
                <w:rFonts w:cs="Calibri" w:cstheme="minorHAnsi"/>
                <w:bCs/>
              </w:rPr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Kierunek studiów 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Bezpieczeństwo narodowe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Poziom studiów (I, II, jednolite magisterskie)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II stopień, I rok, semestr I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Forma studiów (stacjonarne, niestacjonarne)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stacjonarne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Dyscyplina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Nauki o polityce i administracji, nauki o bezpieczeństwie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Język wykładowy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polski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2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05"/>
        <w:gridCol w:w="4605"/>
      </w:tblGrid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Koordynator przedmiotu/osoba odpowiedzialna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Alicja Zyguła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2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302"/>
        <w:gridCol w:w="2304"/>
        <w:gridCol w:w="2304"/>
        <w:gridCol w:w="2300"/>
      </w:tblGrid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Forma zajęć </w:t>
            </w:r>
            <w:r>
              <w:rPr>
                <w:rFonts w:eastAsia="Calibri" w:cs=""/>
                <w:i/>
                <w:kern w:val="0"/>
                <w:sz w:val="22"/>
                <w:szCs w:val="22"/>
                <w:lang w:val="pl-PL" w:eastAsia="en-US" w:bidi="ar-SA"/>
              </w:rPr>
              <w:t>(katalog zamknięty ze słownika)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Liczba godzin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semestr</w:t>
            </w:r>
          </w:p>
        </w:tc>
        <w:tc>
          <w:tcPr>
            <w:tcW w:w="2300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Punkty ECTS</w:t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wykład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restart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2</w:t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konwersatorium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15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I</w:t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ćwiczenia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laboratorium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warsztaty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seminarium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proseminarium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lektorat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praktyki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zajęcia terenowe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pracownia dyplomowa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translatorium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wizyta studyjna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0" w:type="dxa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32"/>
        <w:gridCol w:w="6979"/>
      </w:tblGrid>
      <w:tr>
        <w:trPr/>
        <w:tc>
          <w:tcPr>
            <w:tcW w:w="223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Wymagania wstępne</w:t>
            </w:r>
          </w:p>
        </w:tc>
        <w:tc>
          <w:tcPr>
            <w:tcW w:w="6979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Znajomość podstawowych zagadnień z zakresu dyplomacji.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Cele kształcenia dla przedmiotu </w:t>
      </w:r>
    </w:p>
    <w:tbl>
      <w:tblPr>
        <w:tblStyle w:val="Tabela-Siatka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C1 - Zapoznanie z głównymi trendami i wyzwaniami współczesnej, globalnej dyplomacji.</w:t>
            </w:r>
          </w:p>
        </w:tc>
      </w:tr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C2 - Student w trakcie kursu pozna kierunki ewolucji współczesnej dyplomacji.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rPr/>
      </w:pPr>
      <w:r>
        <w:rPr/>
      </w:r>
      <w:r>
        <w:br w:type="page"/>
      </w:r>
    </w:p>
    <w:p>
      <w:pPr>
        <w:pStyle w:val="Normal"/>
        <w:spacing w:before="0" w:after="0"/>
        <w:rPr/>
      </w:pPr>
      <w:r>
        <w:rPr/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Efekty uczenia się dla przedmiotu wraz z odniesieniem do efektów kierunkowych</w:t>
      </w:r>
    </w:p>
    <w:tbl>
      <w:tblPr>
        <w:tblStyle w:val="Tabela-Siatka"/>
        <w:tblW w:w="92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98"/>
        <w:gridCol w:w="5953"/>
        <w:gridCol w:w="2160"/>
      </w:tblGrid>
      <w:tr>
        <w:trPr/>
        <w:tc>
          <w:tcPr>
            <w:tcW w:w="1098" w:type="dxa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Symbol</w:t>
            </w:r>
          </w:p>
        </w:tc>
        <w:tc>
          <w:tcPr>
            <w:tcW w:w="5953" w:type="dxa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Opis efektu przedmiotowego</w:t>
            </w:r>
          </w:p>
        </w:tc>
        <w:tc>
          <w:tcPr>
            <w:tcW w:w="2160" w:type="dxa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Odniesienie do efektu kierunkowego</w:t>
            </w:r>
          </w:p>
        </w:tc>
      </w:tr>
      <w:tr>
        <w:trPr/>
        <w:tc>
          <w:tcPr>
            <w:tcW w:w="9211" w:type="dxa"/>
            <w:gridSpan w:val="3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WIEDZA</w:t>
            </w:r>
          </w:p>
        </w:tc>
      </w:tr>
      <w:tr>
        <w:trPr/>
        <w:tc>
          <w:tcPr>
            <w:tcW w:w="1098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W_01</w:t>
            </w:r>
          </w:p>
        </w:tc>
        <w:tc>
          <w:tcPr>
            <w:tcW w:w="595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Posiada wiedzę w zakresie dyplomacji.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K_W04</w:t>
            </w:r>
          </w:p>
        </w:tc>
      </w:tr>
      <w:tr>
        <w:trPr/>
        <w:tc>
          <w:tcPr>
            <w:tcW w:w="1098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W_02</w:t>
            </w:r>
          </w:p>
        </w:tc>
        <w:tc>
          <w:tcPr>
            <w:tcW w:w="595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 xml:space="preserve">Student zna w zaawansowanym stopniu terminologię związaną z dyplomacją, protokołem dyplomatycznym. </w:t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K_W02</w:t>
            </w:r>
          </w:p>
        </w:tc>
      </w:tr>
      <w:tr>
        <w:trPr/>
        <w:tc>
          <w:tcPr>
            <w:tcW w:w="1098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 _03</w:t>
            </w:r>
          </w:p>
        </w:tc>
        <w:tc>
          <w:tcPr>
            <w:tcW w:w="595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Posiada wiedzę na temat wyzwań i ewolucji dyplomacji.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11" w:type="dxa"/>
            <w:gridSpan w:val="3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UMIEJĘTNOŚCI</w:t>
            </w:r>
          </w:p>
        </w:tc>
      </w:tr>
      <w:tr>
        <w:trPr/>
        <w:tc>
          <w:tcPr>
            <w:tcW w:w="1098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U_01</w:t>
            </w:r>
          </w:p>
        </w:tc>
        <w:tc>
          <w:tcPr>
            <w:tcW w:w="595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Potrafi zidentyfikować trendy współczesnej dyplomacji.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K_U01,</w:t>
            </w:r>
          </w:p>
        </w:tc>
      </w:tr>
      <w:tr>
        <w:trPr/>
        <w:tc>
          <w:tcPr>
            <w:tcW w:w="1098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U_02</w:t>
            </w:r>
          </w:p>
        </w:tc>
        <w:tc>
          <w:tcPr>
            <w:tcW w:w="595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Posiada umiejętność dokonywania analizy 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oceny problemów oraz projektowania ich rozwiązań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również przy użyciu nowoczesnych technik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multimedialnych.</w:t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K_U04</w:t>
            </w:r>
          </w:p>
        </w:tc>
      </w:tr>
      <w:tr>
        <w:trPr/>
        <w:tc>
          <w:tcPr>
            <w:tcW w:w="1098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U_….</w:t>
            </w:r>
          </w:p>
        </w:tc>
        <w:tc>
          <w:tcPr>
            <w:tcW w:w="595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11" w:type="dxa"/>
            <w:gridSpan w:val="3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KOMPETENCJE SPOŁECZNE</w:t>
            </w:r>
          </w:p>
        </w:tc>
      </w:tr>
      <w:tr>
        <w:trPr/>
        <w:tc>
          <w:tcPr>
            <w:tcW w:w="1098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K_01</w:t>
            </w:r>
          </w:p>
        </w:tc>
        <w:tc>
          <w:tcPr>
            <w:tcW w:w="595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Potrafi zdobytą wiedzę wykorzystać do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działań na rzecz społeczności lokalnej, rozumiejąc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globalne problemy związane z bezpieczeństwem.</w:t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1098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K_02</w:t>
            </w:r>
          </w:p>
        </w:tc>
        <w:tc>
          <w:tcPr>
            <w:tcW w:w="595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1098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K_...</w:t>
            </w:r>
          </w:p>
        </w:tc>
        <w:tc>
          <w:tcPr>
            <w:tcW w:w="595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ListParagraph"/>
        <w:ind w:left="1080" w:hanging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Opis przedmiotu/ treści programowe</w:t>
      </w:r>
    </w:p>
    <w:tbl>
      <w:tblPr>
        <w:tblStyle w:val="Tabela-Siatka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auto" w:val="clear"/>
          </w:tcPr>
          <w:tbl>
            <w:tblPr>
              <w:tblW w:w="8270" w:type="dxa"/>
              <w:jc w:val="left"/>
              <w:tblInd w:w="0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firstRow="1" w:noVBand="1" w:lastRow="0" w:firstColumn="1" w:lastColumn="0" w:noHBand="0" w:val="04a0"/>
            </w:tblPr>
            <w:tblGrid>
              <w:gridCol w:w="8145"/>
              <w:gridCol w:w="124"/>
            </w:tblGrid>
            <w:tr>
              <w:trPr/>
              <w:tc>
                <w:tcPr>
                  <w:tcW w:w="81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spacing w:before="0" w:after="200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1.Dyplomacja: pojęcie i konceptualizacja.</w:t>
                  </w:r>
                </w:p>
              </w:tc>
              <w:tc>
                <w:tcPr>
                  <w:tcW w:w="124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spacing w:before="0" w:after="200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  </w:t>
                  </w:r>
                </w:p>
              </w:tc>
            </w:tr>
            <w:tr>
              <w:trPr/>
              <w:tc>
                <w:tcPr>
                  <w:tcW w:w="81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  <w:r>
                    <w:rPr>
                      <w:b/>
                      <w:bCs/>
                    </w:rPr>
                    <w:t>2. Nowe wyzwania dla współczesnej, globalnej dyplomacji. Ewolucja, trendy, wyzwania.</w:t>
                  </w:r>
                </w:p>
                <w:p>
                  <w:pPr>
                    <w:pStyle w:val="Normal"/>
                    <w:widowControl w:val="false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3.Dyplomacja jako instytucja stosunków międzynarodowych. </w:t>
                  </w:r>
                </w:p>
                <w:p>
                  <w:pPr>
                    <w:pStyle w:val="Normal"/>
                    <w:widowControl w:val="false"/>
                    <w:spacing w:before="0" w:after="200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4. Czynniki ewolucji współczesnej dyplomacji.</w:t>
                  </w:r>
                </w:p>
              </w:tc>
              <w:tc>
                <w:tcPr>
                  <w:tcW w:w="124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spacing w:before="0" w:after="200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b/>
                <w:bCs/>
              </w:rPr>
            </w:pPr>
            <w:r>
              <w:rPr>
                <w:b/>
                <w:bCs/>
              </w:rPr>
              <w:t>5.</w:t>
            </w:r>
            <w:r>
              <w:rPr/>
              <w:t xml:space="preserve"> </w:t>
            </w:r>
            <w:r>
              <w:rPr>
                <w:b/>
                <w:bCs/>
              </w:rPr>
              <w:t>Rewolucja informacyjna a dyplomacja. Nowe technologie w służbie dyplomacji.</w:t>
            </w:r>
          </w:p>
          <w:p>
            <w:pPr>
              <w:pStyle w:val="Normal"/>
              <w:widowControl w:val="false"/>
              <w:rPr>
                <w:b/>
                <w:bCs/>
              </w:rPr>
            </w:pPr>
            <w:r>
              <w:rPr>
                <w:b/>
                <w:bCs/>
              </w:rPr>
              <w:t>5. Ewolucja struktury i funkcji Ministerstwa Spraw Zagranicznych RP po 1989 roku.</w:t>
            </w:r>
          </w:p>
          <w:p>
            <w:pPr>
              <w:pStyle w:val="Normal"/>
              <w:widowControl w:val="false"/>
              <w:rPr>
                <w:b/>
                <w:bCs/>
              </w:rPr>
            </w:pPr>
            <w:r>
              <w:rPr>
                <w:b/>
                <w:bCs/>
              </w:rPr>
              <w:t>6. Nowe oblicza dyplomacji (dyplomacja UE, paradyplomacja).</w:t>
            </w:r>
          </w:p>
          <w:p>
            <w:pPr>
              <w:pStyle w:val="Normal"/>
              <w:widowControl w:val="false"/>
              <w:rPr>
                <w:b/>
                <w:bCs/>
              </w:rPr>
            </w:pPr>
            <w:r>
              <w:rPr>
                <w:b/>
                <w:bCs/>
              </w:rPr>
              <w:t>7. Europejska Służba Działań Zewnętrznych – nowy model dyplomacji?</w:t>
            </w:r>
          </w:p>
          <w:p>
            <w:pPr>
              <w:pStyle w:val="Normal"/>
              <w:widowControl w:val="false"/>
              <w:rPr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b/>
              </w:rPr>
            </w:pPr>
            <w:r>
              <w:rPr>
                <w:b/>
              </w:rPr>
            </w:r>
          </w:p>
        </w:tc>
      </w:tr>
    </w:tbl>
    <w:p>
      <w:pPr>
        <w:pStyle w:val="Normal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Metody realizacji i weryfikacji efektów uczenia się</w:t>
      </w:r>
    </w:p>
    <w:tbl>
      <w:tblPr>
        <w:tblStyle w:val="Tabela-Siatka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99"/>
        <w:gridCol w:w="2695"/>
        <w:gridCol w:w="2834"/>
        <w:gridCol w:w="2583"/>
      </w:tblGrid>
      <w:tr>
        <w:trPr/>
        <w:tc>
          <w:tcPr>
            <w:tcW w:w="1099" w:type="dxa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Symbol efektu</w:t>
            </w:r>
          </w:p>
        </w:tc>
        <w:tc>
          <w:tcPr>
            <w:tcW w:w="2695" w:type="dxa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Metody dydaktyczne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  <w:t>(lista wyboru)</w:t>
            </w:r>
          </w:p>
        </w:tc>
        <w:tc>
          <w:tcPr>
            <w:tcW w:w="2834" w:type="dxa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Metody weryfikacji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  <w:t>(lista wyboru)</w:t>
            </w:r>
          </w:p>
        </w:tc>
        <w:tc>
          <w:tcPr>
            <w:tcW w:w="2583" w:type="dxa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Sposoby dokumentacji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  <w:t>(lista wyboru)</w:t>
            </w:r>
          </w:p>
        </w:tc>
      </w:tr>
      <w:tr>
        <w:trPr/>
        <w:tc>
          <w:tcPr>
            <w:tcW w:w="9211" w:type="dxa"/>
            <w:gridSpan w:val="4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WIEDZA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W_01</w:t>
            </w:r>
          </w:p>
        </w:tc>
        <w:tc>
          <w:tcPr>
            <w:tcW w:w="269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Wykład konwencjonalny, konwersatoryjny, z wykorzystaniem prezentacji multimedialnych, problemowy, udział w konferencjach naukowych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 pisemne</w:t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W_02</w:t>
            </w:r>
          </w:p>
        </w:tc>
        <w:tc>
          <w:tcPr>
            <w:tcW w:w="269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W_…</w:t>
            </w:r>
          </w:p>
        </w:tc>
        <w:tc>
          <w:tcPr>
            <w:tcW w:w="269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11" w:type="dxa"/>
            <w:gridSpan w:val="4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UMIEJĘTNOŚCI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U_01</w:t>
            </w:r>
          </w:p>
        </w:tc>
        <w:tc>
          <w:tcPr>
            <w:tcW w:w="269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Analiza tekstu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</w:t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U_02</w:t>
            </w:r>
          </w:p>
        </w:tc>
        <w:tc>
          <w:tcPr>
            <w:tcW w:w="269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Studium przypadku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</w:t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Karta oceny projektu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U_….</w:t>
            </w:r>
          </w:p>
        </w:tc>
        <w:tc>
          <w:tcPr>
            <w:tcW w:w="269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Metoda projektu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prezentacja</w:t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Karta oceny projektu</w:t>
            </w:r>
          </w:p>
        </w:tc>
      </w:tr>
      <w:tr>
        <w:trPr/>
        <w:tc>
          <w:tcPr>
            <w:tcW w:w="9211" w:type="dxa"/>
            <w:gridSpan w:val="4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KOMPETENCJE SPOŁECZNE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K_01</w:t>
            </w:r>
          </w:p>
        </w:tc>
        <w:tc>
          <w:tcPr>
            <w:tcW w:w="269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Dyskusja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</w:t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K_02</w:t>
            </w:r>
          </w:p>
        </w:tc>
        <w:tc>
          <w:tcPr>
            <w:tcW w:w="269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K_...</w:t>
            </w:r>
          </w:p>
        </w:tc>
        <w:tc>
          <w:tcPr>
            <w:tcW w:w="269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ListParagraph"/>
        <w:ind w:left="1080" w:hanging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Kryteria oceny, wagi…</w:t>
      </w:r>
    </w:p>
    <w:p>
      <w:pPr>
        <w:pStyle w:val="Normal"/>
        <w:ind w:left="1080" w:hanging="0"/>
        <w:rPr>
          <w:b/>
        </w:rPr>
      </w:pPr>
      <w:r>
        <w:rPr>
          <w:bCs/>
        </w:rPr>
        <w:t>Systematyczna obecność na zajęciach. Zaliczenie lektur. Udział w wydarzeniach (konferencje tematyczne, seminaria) związanych z tematyką zajęć. Zaliczenie w formie pisemnej.</w:t>
      </w:r>
    </w:p>
    <w:p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Obciążenie pracą studenta</w:t>
      </w:r>
    </w:p>
    <w:tbl>
      <w:tblPr>
        <w:tblStyle w:val="Tabela-Siatka"/>
        <w:tblW w:w="92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05"/>
        <w:gridCol w:w="4605"/>
      </w:tblGrid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Forma aktywności studenta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Liczba godzin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Liczba godzin kontaktowych z nauczycielem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15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Liczba godzin indywidualnej pracy studenta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30</w:t>
            </w:r>
          </w:p>
        </w:tc>
      </w:tr>
    </w:tbl>
    <w:p>
      <w:pPr>
        <w:pStyle w:val="Normal"/>
        <w:spacing w:before="0" w:after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Literatura</w:t>
      </w:r>
    </w:p>
    <w:tbl>
      <w:tblPr>
        <w:tblStyle w:val="Tabela-Siatka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Literatura podstawowa</w:t>
            </w:r>
          </w:p>
        </w:tc>
      </w:tr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B. Surmacz, Ewolucja współczesnej dyplomacji.</w:t>
            </w:r>
          </w:p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T. Orłowski, Praktyka dyplomatyczna, </w:t>
            </w:r>
          </w:p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J. Modrzyńska, Protokół dyplomatyczny, etykieta i zasady savoire-vivere,</w:t>
            </w:r>
          </w:p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Literatura uzupełniająca</w:t>
            </w:r>
          </w:p>
        </w:tc>
      </w:tr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M. Imam, Rozumienie dyplomacji: paradygmat teoretyczny.</w:t>
            </w:r>
          </w:p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b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J. Sutor, Prawo dyplomatyczne i konsularne.</w:t>
            </w:r>
          </w:p>
        </w:tc>
      </w:tr>
    </w:tbl>
    <w:p>
      <w:pPr>
        <w:pStyle w:val="Normal"/>
        <w:spacing w:before="0" w:after="0"/>
        <w:rPr>
          <w:b/>
        </w:rPr>
      </w:pPr>
      <w:r>
        <w:rPr>
          <w:b/>
        </w:rPr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default" r:id="rId2"/>
      <w:type w:val="nextPage"/>
      <w:pgSz w:w="11906" w:h="16838"/>
      <w:pgMar w:left="1417" w:right="1417" w:gutter="0" w:header="708" w:top="1417" w:footer="0" w:bottom="1417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Courier New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right"/>
      <w:rPr>
        <w:i/>
        <w:i/>
      </w:rPr>
    </w:pPr>
    <w:r>
      <w:rPr>
        <w:i/>
      </w:rPr>
      <w:t>Załącznik nr 5 do dokumentacji programowej</w:t>
    </w:r>
  </w:p>
  <w:p>
    <w:pPr>
      <w:pStyle w:val="Gwk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upperRoman"/>
      <w:lvlText w:val="%4."/>
      <w:lvlJc w:val="left"/>
      <w:pPr>
        <w:tabs>
          <w:tab w:val="num" w:pos="0"/>
        </w:tabs>
        <w:ind w:left="2880" w:hanging="360"/>
      </w:pPr>
      <w:rPr>
        <w:rFonts w:ascii="Times New Roman" w:hAnsi="Times New Roman" w:eastAsia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atory" w:customStyle="1">
    <w:name w:val="tabulatory"/>
    <w:basedOn w:val="DefaultParagraphFont"/>
    <w:qFormat/>
    <w:rsid w:val="00d406f6"/>
    <w:rPr/>
  </w:style>
  <w:style w:type="character" w:styleId="Czeinternetowe" w:customStyle="1">
    <w:name w:val="Hyperlink"/>
    <w:basedOn w:val="DefaultParagraphFont"/>
    <w:uiPriority w:val="99"/>
    <w:unhideWhenUsed/>
    <w:rsid w:val="00d406f6"/>
    <w:rPr>
      <w:color w:val="0000FF"/>
      <w:u w:val="single"/>
    </w:rPr>
  </w:style>
  <w:style w:type="character" w:styleId="Access" w:customStyle="1">
    <w:name w:val="access"/>
    <w:basedOn w:val="DefaultParagraphFont"/>
    <w:qFormat/>
    <w:rsid w:val="003c65da"/>
    <w:rPr/>
  </w:style>
  <w:style w:type="character" w:styleId="Luchili" w:customStyle="1">
    <w:name w:val="luc_hili"/>
    <w:basedOn w:val="DefaultParagraphFont"/>
    <w:qFormat/>
    <w:rsid w:val="001a5d37"/>
    <w:rPr/>
  </w:style>
  <w:style w:type="character" w:styleId="NagwekZnak" w:customStyle="1">
    <w:name w:val="Nagłówek Znak"/>
    <w:basedOn w:val="DefaultParagraphFont"/>
    <w:uiPriority w:val="99"/>
    <w:qFormat/>
    <w:rsid w:val="00b04272"/>
    <w:rPr/>
  </w:style>
  <w:style w:type="character" w:styleId="StopkaZnak" w:customStyle="1">
    <w:name w:val="Stopka Znak"/>
    <w:basedOn w:val="DefaultParagraphFont"/>
    <w:uiPriority w:val="99"/>
    <w:qFormat/>
    <w:rsid w:val="00b04272"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b04272"/>
    <w:rPr>
      <w:rFonts w:ascii="Tahoma" w:hAnsi="Tahoma" w:cs="Tahoma"/>
      <w:sz w:val="16"/>
      <w:szCs w:val="16"/>
    </w:rPr>
  </w:style>
  <w:style w:type="character" w:styleId="Fontstyle01" w:customStyle="1">
    <w:name w:val="fontstyle01"/>
    <w:basedOn w:val="DefaultParagraphFont"/>
    <w:qFormat/>
    <w:rsid w:val="00807ef2"/>
    <w:rPr>
      <w:rFonts w:ascii="Calibri" w:hAnsi="Calibri" w:cs="Calibri"/>
      <w:b w:val="false"/>
      <w:bCs w:val="false"/>
      <w:i w:val="false"/>
      <w:iCs w:val="false"/>
      <w:color w:val="000000"/>
      <w:sz w:val="22"/>
      <w:szCs w:val="22"/>
    </w:rPr>
  </w:style>
  <w:style w:type="character" w:styleId="Markedcontent" w:customStyle="1">
    <w:name w:val="markedcontent"/>
    <w:basedOn w:val="DefaultParagraphFont"/>
    <w:qFormat/>
    <w:rsid w:val="00807ef2"/>
    <w:rPr/>
  </w:style>
  <w:style w:type="character" w:styleId="HTML-wstpniesformatowanyZnak" w:customStyle="1">
    <w:name w:val="HTML - wstępnie sformatowany Znak"/>
    <w:basedOn w:val="DefaultParagraphFont"/>
    <w:link w:val="HTMLPreformatted"/>
    <w:uiPriority w:val="99"/>
    <w:semiHidden/>
    <w:qFormat/>
    <w:rsid w:val="0079330c"/>
    <w:rPr>
      <w:rFonts w:ascii="Courier New" w:hAnsi="Courier New" w:eastAsia="Times New Roman" w:cs="Courier New"/>
      <w:sz w:val="20"/>
      <w:szCs w:val="20"/>
      <w:lang w:eastAsia="pl-PL"/>
    </w:rPr>
  </w:style>
  <w:style w:type="character" w:styleId="Y2iqfc" w:customStyle="1">
    <w:name w:val="y2iqfc"/>
    <w:basedOn w:val="DefaultParagraphFont"/>
    <w:qFormat/>
    <w:rsid w:val="0079330c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Arial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next w:val="Tretekstu"/>
    <w:link w:val="NagwekZnak"/>
    <w:uiPriority w:val="99"/>
    <w:unhideWhenUsed/>
    <w:rsid w:val="00b04272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Western" w:customStyle="1">
    <w:name w:val="western"/>
    <w:basedOn w:val="Normal"/>
    <w:qFormat/>
    <w:rsid w:val="007d0038"/>
    <w:pPr>
      <w:spacing w:lineRule="atLeast" w:line="102" w:beforeAutospacing="1" w:after="119"/>
    </w:pPr>
    <w:rPr>
      <w:rFonts w:ascii="Times New Roman" w:hAnsi="Times New Roman" w:eastAsia="Times New Roman" w:cs="Times New Roman"/>
      <w:color w:val="000000"/>
      <w:sz w:val="24"/>
      <w:szCs w:val="24"/>
      <w:lang w:eastAsia="pl-PL"/>
    </w:rPr>
  </w:style>
  <w:style w:type="paragraph" w:styleId="ListParagraph">
    <w:name w:val="List Paragraph"/>
    <w:basedOn w:val="Normal"/>
    <w:uiPriority w:val="34"/>
    <w:qFormat/>
    <w:rsid w:val="007d0038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uiPriority w:val="99"/>
    <w:semiHidden/>
    <w:unhideWhenUsed/>
    <w:qFormat/>
    <w:rsid w:val="00d27ddc"/>
    <w:pPr>
      <w:spacing w:lineRule="auto" w:line="240" w:beforeAutospacing="1" w:after="119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paragraph" w:styleId="Default" w:customStyle="1">
    <w:name w:val="Default"/>
    <w:qFormat/>
    <w:rsid w:val="007841b3"/>
    <w:pPr>
      <w:widowControl/>
      <w:suppressAutoHyphens w:val="true"/>
      <w:bidi w:val="0"/>
      <w:spacing w:before="0" w:after="0"/>
      <w:jc w:val="left"/>
    </w:pPr>
    <w:rPr>
      <w:rFonts w:ascii="Arial" w:hAnsi="Arial" w:eastAsia="Calibri" w:cs="Arial"/>
      <w:color w:val="000000"/>
      <w:kern w:val="0"/>
      <w:sz w:val="24"/>
      <w:szCs w:val="24"/>
      <w:lang w:val="pl-PL" w:eastAsia="en-US" w:bidi="ar-SA"/>
    </w:rPr>
  </w:style>
  <w:style w:type="paragraph" w:styleId="Stopka">
    <w:name w:val="Footer"/>
    <w:basedOn w:val="Normal"/>
    <w:link w:val="StopkaZnak"/>
    <w:uiPriority w:val="99"/>
    <w:unhideWhenUsed/>
    <w:rsid w:val="00b04272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b04272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link w:val="HTML-wstpniesformatowanyZnak"/>
    <w:uiPriority w:val="99"/>
    <w:semiHidden/>
    <w:unhideWhenUsed/>
    <w:qFormat/>
    <w:rsid w:val="0079330c"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pacing w:lineRule="auto" w:line="240" w:before="0" w:after="0"/>
    </w:pPr>
    <w:rPr>
      <w:rFonts w:ascii="Courier New" w:hAnsi="Courier New" w:eastAsia="Times New Roman" w:cs="Courier New"/>
      <w:sz w:val="20"/>
      <w:szCs w:val="20"/>
      <w:lang w:eastAsia="pl-P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732e4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68D0BD-05CE-401E-B6F4-108717C20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Application>LibreOffice/7.5.6.2$Windows_X86_64 LibreOffice_project/f654817fb68d6d4600d7d2f6b647e47729f55f15</Application>
  <AppVersion>15.0000</AppVersion>
  <Pages>4</Pages>
  <Words>440</Words>
  <Characters>3192</Characters>
  <CharactersWithSpaces>3501</CharactersWithSpaces>
  <Paragraphs>137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2023-10-29T09:48:00Z</dcterms:created>
  <dc:creator>Anna Łukasiewicz</dc:creator>
  <dc:description/>
  <dc:language>pl-PL</dc:language>
  <cp:lastModifiedBy/>
  <cp:lastPrinted>2019-01-23T11:10:00Z</cp:lastPrinted>
  <dcterms:modified xsi:type="dcterms:W3CDTF">2024-11-28T16:12:52Z</dcterms:modified>
  <cp:revision>98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