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569C2" w14:textId="77777777" w:rsidR="007961FA" w:rsidRDefault="00457556">
      <w:pPr>
        <w:rPr>
          <w:b/>
        </w:rPr>
      </w:pPr>
      <w:r>
        <w:rPr>
          <w:b/>
        </w:rPr>
        <w:t xml:space="preserve">KARTA PRZEDMIOTU </w:t>
      </w:r>
    </w:p>
    <w:p w14:paraId="110BD33F" w14:textId="77777777" w:rsidR="007961FA" w:rsidRDefault="0045755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7961FA" w14:paraId="2991589C" w14:textId="77777777">
        <w:tc>
          <w:tcPr>
            <w:tcW w:w="4605" w:type="dxa"/>
            <w:shd w:val="clear" w:color="auto" w:fill="auto"/>
          </w:tcPr>
          <w:p w14:paraId="0DB3C406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</w:t>
            </w:r>
          </w:p>
        </w:tc>
        <w:tc>
          <w:tcPr>
            <w:tcW w:w="4605" w:type="dxa"/>
            <w:shd w:val="clear" w:color="auto" w:fill="auto"/>
          </w:tcPr>
          <w:p w14:paraId="4473CD22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Katolicka nauka społeczna. Społeczna odpowiedzialność biznesu</w:t>
            </w:r>
          </w:p>
        </w:tc>
      </w:tr>
      <w:tr w:rsidR="007961FA" w14:paraId="3537E946" w14:textId="77777777">
        <w:tc>
          <w:tcPr>
            <w:tcW w:w="4605" w:type="dxa"/>
            <w:shd w:val="clear" w:color="auto" w:fill="auto"/>
          </w:tcPr>
          <w:p w14:paraId="4801288C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Nazwa przedmiotu w języku angielskim</w:t>
            </w:r>
          </w:p>
        </w:tc>
        <w:tc>
          <w:tcPr>
            <w:tcW w:w="4605" w:type="dxa"/>
            <w:shd w:val="clear" w:color="auto" w:fill="auto"/>
          </w:tcPr>
          <w:p w14:paraId="6F7D4E76" w14:textId="77777777" w:rsidR="007961FA" w:rsidRDefault="00457556">
            <w:pPr>
              <w:spacing w:after="0" w:line="240" w:lineRule="auto"/>
              <w:rPr>
                <w:lang w:val="en-GB"/>
              </w:rPr>
            </w:pPr>
            <w:r>
              <w:rPr>
                <w:rFonts w:eastAsia="Calibri"/>
                <w:lang w:val="en-GB"/>
              </w:rPr>
              <w:t>Catholic Social Teaching. Corporate Social Responsibility</w:t>
            </w:r>
          </w:p>
        </w:tc>
      </w:tr>
      <w:tr w:rsidR="007961FA" w14:paraId="627929B9" w14:textId="77777777">
        <w:tc>
          <w:tcPr>
            <w:tcW w:w="4605" w:type="dxa"/>
            <w:shd w:val="clear" w:color="auto" w:fill="auto"/>
          </w:tcPr>
          <w:p w14:paraId="3CFCE531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Kierunek studiów</w:t>
            </w:r>
          </w:p>
        </w:tc>
        <w:tc>
          <w:tcPr>
            <w:tcW w:w="4605" w:type="dxa"/>
            <w:shd w:val="clear" w:color="auto" w:fill="auto"/>
          </w:tcPr>
          <w:p w14:paraId="4CF15C92" w14:textId="54EC349F" w:rsidR="007961FA" w:rsidRDefault="007961FA">
            <w:pPr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7961FA" w14:paraId="7DB1ADB2" w14:textId="77777777">
        <w:tc>
          <w:tcPr>
            <w:tcW w:w="4605" w:type="dxa"/>
            <w:shd w:val="clear" w:color="auto" w:fill="auto"/>
          </w:tcPr>
          <w:p w14:paraId="5D42927F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Poziom studiów (I, II, jednolite magisterskie)</w:t>
            </w:r>
          </w:p>
        </w:tc>
        <w:tc>
          <w:tcPr>
            <w:tcW w:w="4605" w:type="dxa"/>
            <w:shd w:val="clear" w:color="auto" w:fill="auto"/>
          </w:tcPr>
          <w:p w14:paraId="5DFAE861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II stopnia</w:t>
            </w:r>
          </w:p>
        </w:tc>
      </w:tr>
      <w:tr w:rsidR="007961FA" w14:paraId="7D3B09F4" w14:textId="77777777">
        <w:tc>
          <w:tcPr>
            <w:tcW w:w="4605" w:type="dxa"/>
            <w:shd w:val="clear" w:color="auto" w:fill="auto"/>
          </w:tcPr>
          <w:p w14:paraId="24618B6A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studiów (stacjonarne, niestacjonarne)</w:t>
            </w:r>
          </w:p>
        </w:tc>
        <w:tc>
          <w:tcPr>
            <w:tcW w:w="4605" w:type="dxa"/>
            <w:shd w:val="clear" w:color="auto" w:fill="auto"/>
          </w:tcPr>
          <w:p w14:paraId="4D2E1DD3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stacjonarne</w:t>
            </w:r>
          </w:p>
        </w:tc>
      </w:tr>
      <w:tr w:rsidR="007961FA" w14:paraId="790AF9D7" w14:textId="77777777">
        <w:tc>
          <w:tcPr>
            <w:tcW w:w="4605" w:type="dxa"/>
            <w:shd w:val="clear" w:color="auto" w:fill="auto"/>
          </w:tcPr>
          <w:p w14:paraId="5CF9E1D4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Dyscyplina</w:t>
            </w:r>
          </w:p>
        </w:tc>
        <w:tc>
          <w:tcPr>
            <w:tcW w:w="4605" w:type="dxa"/>
            <w:shd w:val="clear" w:color="auto" w:fill="auto"/>
          </w:tcPr>
          <w:p w14:paraId="79597C85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nauki socjologiczne</w:t>
            </w:r>
          </w:p>
        </w:tc>
      </w:tr>
      <w:tr w:rsidR="007961FA" w14:paraId="3D9BEA06" w14:textId="77777777">
        <w:tc>
          <w:tcPr>
            <w:tcW w:w="4605" w:type="dxa"/>
            <w:shd w:val="clear" w:color="auto" w:fill="auto"/>
          </w:tcPr>
          <w:p w14:paraId="351FB34E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Język wykładowy</w:t>
            </w:r>
          </w:p>
        </w:tc>
        <w:tc>
          <w:tcPr>
            <w:tcW w:w="4605" w:type="dxa"/>
            <w:shd w:val="clear" w:color="auto" w:fill="auto"/>
          </w:tcPr>
          <w:p w14:paraId="1C2E771A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polski</w:t>
            </w:r>
          </w:p>
        </w:tc>
      </w:tr>
    </w:tbl>
    <w:p w14:paraId="216DD042" w14:textId="77777777" w:rsidR="007961FA" w:rsidRDefault="007961FA">
      <w:pPr>
        <w:spacing w:after="0"/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7961FA" w:rsidRPr="00B5667B" w14:paraId="3A7F8FE4" w14:textId="77777777">
        <w:tc>
          <w:tcPr>
            <w:tcW w:w="4605" w:type="dxa"/>
            <w:shd w:val="clear" w:color="auto" w:fill="auto"/>
          </w:tcPr>
          <w:p w14:paraId="0CDB32EB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Koordynator przedmiotu/osoba odpowiedzialna</w:t>
            </w:r>
          </w:p>
        </w:tc>
        <w:tc>
          <w:tcPr>
            <w:tcW w:w="4605" w:type="dxa"/>
            <w:shd w:val="clear" w:color="auto" w:fill="auto"/>
          </w:tcPr>
          <w:p w14:paraId="503D2B06" w14:textId="77777777" w:rsidR="007961FA" w:rsidRPr="0054771B" w:rsidRDefault="00457556">
            <w:pPr>
              <w:spacing w:after="0" w:line="240" w:lineRule="auto"/>
              <w:rPr>
                <w:rFonts w:ascii="Calibri" w:eastAsia="Calibri" w:hAnsi="Calibri"/>
                <w:lang w:val="de-DE"/>
              </w:rPr>
            </w:pPr>
            <w:r w:rsidRPr="0054771B">
              <w:rPr>
                <w:rFonts w:eastAsia="Calibri"/>
                <w:lang w:val="de-DE"/>
              </w:rPr>
              <w:t>Ks. dr hab. Stanisław Fel, prof. KUL</w:t>
            </w:r>
          </w:p>
          <w:p w14:paraId="55A87439" w14:textId="77777777" w:rsidR="007961FA" w:rsidRPr="0054771B" w:rsidRDefault="007961FA">
            <w:pPr>
              <w:spacing w:after="0" w:line="240" w:lineRule="auto"/>
              <w:rPr>
                <w:rFonts w:ascii="Calibri" w:eastAsia="Calibri" w:hAnsi="Calibri"/>
                <w:lang w:val="de-DE"/>
              </w:rPr>
            </w:pPr>
          </w:p>
        </w:tc>
      </w:tr>
    </w:tbl>
    <w:p w14:paraId="4ABFE7DB" w14:textId="77777777" w:rsidR="007961FA" w:rsidRPr="0054771B" w:rsidRDefault="007961FA">
      <w:pPr>
        <w:spacing w:after="0"/>
        <w:rPr>
          <w:lang w:val="de-DE"/>
        </w:rPr>
      </w:pP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2303"/>
        <w:gridCol w:w="2304"/>
        <w:gridCol w:w="2304"/>
        <w:gridCol w:w="2300"/>
      </w:tblGrid>
      <w:tr w:rsidR="007961FA" w14:paraId="1FE98CED" w14:textId="77777777">
        <w:tc>
          <w:tcPr>
            <w:tcW w:w="2302" w:type="dxa"/>
            <w:shd w:val="clear" w:color="auto" w:fill="auto"/>
          </w:tcPr>
          <w:p w14:paraId="3F2EA815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Forma zajęć </w:t>
            </w:r>
            <w:r>
              <w:rPr>
                <w:rFonts w:eastAsia="Calibri"/>
                <w:i/>
              </w:rPr>
              <w:t>(katalog zamknięty ze słownika)</w:t>
            </w:r>
          </w:p>
        </w:tc>
        <w:tc>
          <w:tcPr>
            <w:tcW w:w="2304" w:type="dxa"/>
            <w:shd w:val="clear" w:color="auto" w:fill="auto"/>
          </w:tcPr>
          <w:p w14:paraId="7BF2FA34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  <w:tc>
          <w:tcPr>
            <w:tcW w:w="2304" w:type="dxa"/>
            <w:shd w:val="clear" w:color="auto" w:fill="auto"/>
          </w:tcPr>
          <w:p w14:paraId="33758F28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semestr</w:t>
            </w:r>
          </w:p>
        </w:tc>
        <w:tc>
          <w:tcPr>
            <w:tcW w:w="2300" w:type="dxa"/>
            <w:shd w:val="clear" w:color="auto" w:fill="auto"/>
          </w:tcPr>
          <w:p w14:paraId="4001CB85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Punkty ECTS</w:t>
            </w:r>
          </w:p>
        </w:tc>
      </w:tr>
      <w:tr w:rsidR="007961FA" w14:paraId="33C194D5" w14:textId="77777777">
        <w:tc>
          <w:tcPr>
            <w:tcW w:w="2302" w:type="dxa"/>
            <w:shd w:val="clear" w:color="auto" w:fill="auto"/>
          </w:tcPr>
          <w:p w14:paraId="5DD0313E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</w:t>
            </w:r>
          </w:p>
        </w:tc>
        <w:tc>
          <w:tcPr>
            <w:tcW w:w="2304" w:type="dxa"/>
            <w:shd w:val="clear" w:color="auto" w:fill="auto"/>
          </w:tcPr>
          <w:p w14:paraId="16FE0CDD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2304" w:type="dxa"/>
            <w:shd w:val="clear" w:color="auto" w:fill="auto"/>
          </w:tcPr>
          <w:p w14:paraId="2B403EFF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III</w:t>
            </w:r>
          </w:p>
        </w:tc>
        <w:tc>
          <w:tcPr>
            <w:tcW w:w="2300" w:type="dxa"/>
            <w:shd w:val="clear" w:color="auto" w:fill="auto"/>
          </w:tcPr>
          <w:p w14:paraId="5ABD85C4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 xml:space="preserve">         2</w:t>
            </w:r>
          </w:p>
        </w:tc>
      </w:tr>
    </w:tbl>
    <w:p w14:paraId="2477870C" w14:textId="77777777" w:rsidR="007961FA" w:rsidRDefault="007961FA">
      <w:pPr>
        <w:spacing w:after="0"/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2232"/>
        <w:gridCol w:w="6980"/>
      </w:tblGrid>
      <w:tr w:rsidR="007961FA" w14:paraId="493993D0" w14:textId="77777777">
        <w:tc>
          <w:tcPr>
            <w:tcW w:w="2232" w:type="dxa"/>
            <w:shd w:val="clear" w:color="auto" w:fill="auto"/>
          </w:tcPr>
          <w:p w14:paraId="18849EC5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Wymagania wstępne</w:t>
            </w:r>
          </w:p>
        </w:tc>
        <w:tc>
          <w:tcPr>
            <w:tcW w:w="6979" w:type="dxa"/>
            <w:shd w:val="clear" w:color="auto" w:fill="auto"/>
          </w:tcPr>
          <w:p w14:paraId="32CBA304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Znajomość podstawowych terminów z zakresu filozofii i etyki oraz podstawowych faktów z zakresu historii powszechnej i wiedzy o społeczeństwie.</w:t>
            </w:r>
          </w:p>
        </w:tc>
      </w:tr>
    </w:tbl>
    <w:p w14:paraId="40E877B7" w14:textId="77777777" w:rsidR="007961FA" w:rsidRDefault="007961FA">
      <w:pPr>
        <w:spacing w:after="0"/>
      </w:pPr>
    </w:p>
    <w:p w14:paraId="31458990" w14:textId="77777777" w:rsidR="007961FA" w:rsidRDefault="007961FA">
      <w:pPr>
        <w:spacing w:after="0"/>
      </w:pPr>
    </w:p>
    <w:p w14:paraId="53BB2A3C" w14:textId="77777777" w:rsidR="007961FA" w:rsidRDefault="0045755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7961FA" w14:paraId="72F14881" w14:textId="77777777">
        <w:tc>
          <w:tcPr>
            <w:tcW w:w="9212" w:type="dxa"/>
            <w:shd w:val="clear" w:color="auto" w:fill="auto"/>
          </w:tcPr>
          <w:p w14:paraId="4E50203B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Przekazanie wiedzy o katolickiej nauce społecznej jako paradygmacie kształtowania instytucjonalnej przestrzeni życia społecznego w obszarze gospodarki, społeczeństwa i kultury.</w:t>
            </w:r>
          </w:p>
        </w:tc>
      </w:tr>
      <w:tr w:rsidR="007961FA" w14:paraId="5959A5B3" w14:textId="77777777">
        <w:tc>
          <w:tcPr>
            <w:tcW w:w="9212" w:type="dxa"/>
            <w:shd w:val="clear" w:color="auto" w:fill="auto"/>
          </w:tcPr>
          <w:p w14:paraId="2D776B3C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Przekazanie wiedzy o wartościach i zasadach życia społecznego jako uniwersalnych kryteriach funkcjonowania ustrojów społeczno-prawnych.</w:t>
            </w:r>
          </w:p>
        </w:tc>
      </w:tr>
      <w:tr w:rsidR="007961FA" w14:paraId="518ECE90" w14:textId="77777777">
        <w:trPr>
          <w:trHeight w:val="304"/>
        </w:trPr>
        <w:tc>
          <w:tcPr>
            <w:tcW w:w="9212" w:type="dxa"/>
            <w:shd w:val="clear" w:color="auto" w:fill="auto"/>
          </w:tcPr>
          <w:p w14:paraId="5F36BA1D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Prezentacja stanowiska Kościoła katolickiego wobec głównych ideologii społecznych, teorii praw człowieka, ustrojów społeczno-politycznych oraz nowych zjawisk społecznych.</w:t>
            </w:r>
          </w:p>
        </w:tc>
      </w:tr>
    </w:tbl>
    <w:p w14:paraId="6E9756F5" w14:textId="77777777" w:rsidR="007961FA" w:rsidRDefault="007961FA">
      <w:pPr>
        <w:spacing w:after="0"/>
      </w:pPr>
    </w:p>
    <w:p w14:paraId="3EEFDD61" w14:textId="77777777" w:rsidR="007961FA" w:rsidRDefault="00457556">
      <w:r>
        <w:br w:type="page"/>
      </w:r>
    </w:p>
    <w:p w14:paraId="130CAD21" w14:textId="77777777" w:rsidR="007961FA" w:rsidRDefault="007961FA">
      <w:pPr>
        <w:spacing w:after="0"/>
      </w:pPr>
    </w:p>
    <w:p w14:paraId="685A8B20" w14:textId="77777777" w:rsidR="007961FA" w:rsidRDefault="0045755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1098"/>
        <w:gridCol w:w="5953"/>
        <w:gridCol w:w="2160"/>
      </w:tblGrid>
      <w:tr w:rsidR="007961FA" w14:paraId="4DAB5BF4" w14:textId="77777777">
        <w:tc>
          <w:tcPr>
            <w:tcW w:w="1098" w:type="dxa"/>
            <w:shd w:val="clear" w:color="auto" w:fill="auto"/>
            <w:vAlign w:val="center"/>
          </w:tcPr>
          <w:p w14:paraId="7498370B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E849AD5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Opis efektu przedmiotowego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10349E58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Odniesienie do efektu kierunkowego</w:t>
            </w:r>
          </w:p>
        </w:tc>
      </w:tr>
      <w:tr w:rsidR="007961FA" w14:paraId="32888C60" w14:textId="77777777">
        <w:tc>
          <w:tcPr>
            <w:tcW w:w="9211" w:type="dxa"/>
            <w:gridSpan w:val="3"/>
            <w:shd w:val="clear" w:color="auto" w:fill="auto"/>
          </w:tcPr>
          <w:p w14:paraId="41F36C25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7961FA" w14:paraId="2E793A9B" w14:textId="77777777">
        <w:tc>
          <w:tcPr>
            <w:tcW w:w="1098" w:type="dxa"/>
            <w:shd w:val="clear" w:color="auto" w:fill="auto"/>
          </w:tcPr>
          <w:p w14:paraId="3B7E1CE9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</w:t>
            </w:r>
          </w:p>
        </w:tc>
        <w:tc>
          <w:tcPr>
            <w:tcW w:w="5953" w:type="dxa"/>
            <w:shd w:val="clear" w:color="auto" w:fill="auto"/>
          </w:tcPr>
          <w:p w14:paraId="7027EEE8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zna i rozumie  personalistyczną koncepcję człowieka jako podmiotu i celu życia społecznego oraz teorię prawa naturalnego, stosunek prawa naturalnego do prawa pozytywnego, teorię praw człowieka (wolnościowych, społeczno-gospodarczych i solidarnościowych).</w:t>
            </w:r>
          </w:p>
        </w:tc>
        <w:tc>
          <w:tcPr>
            <w:tcW w:w="2160" w:type="dxa"/>
            <w:shd w:val="clear" w:color="auto" w:fill="auto"/>
          </w:tcPr>
          <w:p w14:paraId="4705396F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sz w:val="24"/>
                <w:szCs w:val="24"/>
              </w:rPr>
              <w:t>Nie dotyczy</w:t>
            </w:r>
          </w:p>
        </w:tc>
      </w:tr>
      <w:tr w:rsidR="007961FA" w14:paraId="417A385A" w14:textId="77777777">
        <w:tc>
          <w:tcPr>
            <w:tcW w:w="1098" w:type="dxa"/>
            <w:shd w:val="clear" w:color="auto" w:fill="auto"/>
          </w:tcPr>
          <w:p w14:paraId="7BCA19A2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W_02</w:t>
            </w:r>
          </w:p>
        </w:tc>
        <w:tc>
          <w:tcPr>
            <w:tcW w:w="5953" w:type="dxa"/>
            <w:shd w:val="clear" w:color="auto" w:fill="auto"/>
          </w:tcPr>
          <w:p w14:paraId="13464714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zna zbiór zasad i wartości katolickiej nauki społecznej z centralną zasadą godności człowieka, zapisanymi w Konstytucji RP  zasadami subsydiarności, dobra wspólnego, solidarności oraz podstawowe prawa i obowiązki osoby ludzkiej.</w:t>
            </w:r>
          </w:p>
        </w:tc>
        <w:tc>
          <w:tcPr>
            <w:tcW w:w="2160" w:type="dxa"/>
            <w:shd w:val="clear" w:color="auto" w:fill="auto"/>
          </w:tcPr>
          <w:p w14:paraId="0A217B0C" w14:textId="77777777" w:rsidR="007961FA" w:rsidRDefault="00457556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Calibri" w:cs="Calibri"/>
                <w:sz w:val="24"/>
                <w:szCs w:val="24"/>
              </w:rPr>
              <w:t>Nie dotyczy</w:t>
            </w:r>
          </w:p>
        </w:tc>
      </w:tr>
      <w:tr w:rsidR="007961FA" w14:paraId="47EFD903" w14:textId="77777777">
        <w:tc>
          <w:tcPr>
            <w:tcW w:w="9211" w:type="dxa"/>
            <w:gridSpan w:val="3"/>
            <w:shd w:val="clear" w:color="auto" w:fill="auto"/>
          </w:tcPr>
          <w:p w14:paraId="08D0A8FE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7961FA" w14:paraId="4348CEC3" w14:textId="77777777">
        <w:tc>
          <w:tcPr>
            <w:tcW w:w="1098" w:type="dxa"/>
            <w:shd w:val="clear" w:color="auto" w:fill="auto"/>
          </w:tcPr>
          <w:p w14:paraId="57651F88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</w:t>
            </w:r>
          </w:p>
        </w:tc>
        <w:tc>
          <w:tcPr>
            <w:tcW w:w="5953" w:type="dxa"/>
            <w:shd w:val="clear" w:color="auto" w:fill="auto"/>
          </w:tcPr>
          <w:p w14:paraId="5D777D45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potrafi samodzielnie analizować oraz krytycznie ocenić zjawiska społeczne z perspektywy godności osoby ludzkiej jako wartości uniwersalnej i absolutnej. W obszarze życia gospodarczego umie aplikować ideę społecznej odpowiedzialności przedsiębiorstw. I postulaty ekonomii społecznej.</w:t>
            </w:r>
          </w:p>
        </w:tc>
        <w:tc>
          <w:tcPr>
            <w:tcW w:w="2160" w:type="dxa"/>
            <w:shd w:val="clear" w:color="auto" w:fill="auto"/>
          </w:tcPr>
          <w:p w14:paraId="4C0DAA3D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7961FA" w14:paraId="6DBECA76" w14:textId="77777777">
        <w:tc>
          <w:tcPr>
            <w:tcW w:w="1098" w:type="dxa"/>
            <w:shd w:val="clear" w:color="auto" w:fill="auto"/>
          </w:tcPr>
          <w:p w14:paraId="5B30D831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U_02</w:t>
            </w:r>
          </w:p>
        </w:tc>
        <w:tc>
          <w:tcPr>
            <w:tcW w:w="5953" w:type="dxa"/>
            <w:shd w:val="clear" w:color="auto" w:fill="auto"/>
          </w:tcPr>
          <w:p w14:paraId="7BE2C955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potrafi uzasadnić postawy i działania wynikające z najważniejszych zasad i wartości katolickiej nauki społecznej oraz ich aplikację w przestrzeni społecznej.</w:t>
            </w:r>
          </w:p>
        </w:tc>
        <w:tc>
          <w:tcPr>
            <w:tcW w:w="2160" w:type="dxa"/>
            <w:shd w:val="clear" w:color="auto" w:fill="auto"/>
          </w:tcPr>
          <w:p w14:paraId="4652B38C" w14:textId="77777777" w:rsidR="007961FA" w:rsidRDefault="00457556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7961FA" w14:paraId="3F2C1091" w14:textId="77777777">
        <w:tc>
          <w:tcPr>
            <w:tcW w:w="9211" w:type="dxa"/>
            <w:gridSpan w:val="3"/>
            <w:shd w:val="clear" w:color="auto" w:fill="auto"/>
          </w:tcPr>
          <w:p w14:paraId="4B6A1172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7961FA" w14:paraId="29524934" w14:textId="77777777">
        <w:tc>
          <w:tcPr>
            <w:tcW w:w="1098" w:type="dxa"/>
            <w:shd w:val="clear" w:color="auto" w:fill="auto"/>
          </w:tcPr>
          <w:p w14:paraId="18844F76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</w:t>
            </w:r>
          </w:p>
        </w:tc>
        <w:tc>
          <w:tcPr>
            <w:tcW w:w="5953" w:type="dxa"/>
            <w:shd w:val="clear" w:color="auto" w:fill="auto"/>
          </w:tcPr>
          <w:p w14:paraId="26E931F8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jest gotów ocenić funkcjonowanie instytucji społecznych według kryteriów sprawiedliwości społecznej oraz uzasadnić swoje stanowisko w tej kwestii.</w:t>
            </w:r>
          </w:p>
        </w:tc>
        <w:tc>
          <w:tcPr>
            <w:tcW w:w="2160" w:type="dxa"/>
            <w:shd w:val="clear" w:color="auto" w:fill="auto"/>
          </w:tcPr>
          <w:p w14:paraId="5B2EB13D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7961FA" w14:paraId="399C58D8" w14:textId="77777777">
        <w:tc>
          <w:tcPr>
            <w:tcW w:w="1098" w:type="dxa"/>
            <w:shd w:val="clear" w:color="auto" w:fill="auto"/>
          </w:tcPr>
          <w:p w14:paraId="54CF13C6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K_02</w:t>
            </w:r>
          </w:p>
        </w:tc>
        <w:tc>
          <w:tcPr>
            <w:tcW w:w="5953" w:type="dxa"/>
            <w:shd w:val="clear" w:color="auto" w:fill="auto"/>
          </w:tcPr>
          <w:p w14:paraId="27368280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jest przygotowany do implementacji postulatów katolickiej nauki społecznej w obszarze polityki i gospodarki.</w:t>
            </w:r>
          </w:p>
        </w:tc>
        <w:tc>
          <w:tcPr>
            <w:tcW w:w="2160" w:type="dxa"/>
            <w:shd w:val="clear" w:color="auto" w:fill="auto"/>
          </w:tcPr>
          <w:p w14:paraId="71392DBB" w14:textId="77777777" w:rsidR="007961FA" w:rsidRDefault="00457556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  <w:tr w:rsidR="007961FA" w14:paraId="27AAB48E" w14:textId="77777777">
        <w:tc>
          <w:tcPr>
            <w:tcW w:w="1098" w:type="dxa"/>
            <w:shd w:val="clear" w:color="auto" w:fill="auto"/>
          </w:tcPr>
          <w:p w14:paraId="3E091E53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K_03</w:t>
            </w:r>
          </w:p>
        </w:tc>
        <w:tc>
          <w:tcPr>
            <w:tcW w:w="5953" w:type="dxa"/>
            <w:shd w:val="clear" w:color="auto" w:fill="auto"/>
          </w:tcPr>
          <w:p w14:paraId="7EDD3768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Student jest gotów do współdziałania w przygotowaniu projektów społecznych inspirowanych wartościami i zasadami katolickiej nauki społecznej.</w:t>
            </w:r>
          </w:p>
        </w:tc>
        <w:tc>
          <w:tcPr>
            <w:tcW w:w="2160" w:type="dxa"/>
            <w:shd w:val="clear" w:color="auto" w:fill="auto"/>
          </w:tcPr>
          <w:p w14:paraId="07A38825" w14:textId="77777777" w:rsidR="007961FA" w:rsidRDefault="00457556">
            <w:pPr>
              <w:spacing w:after="0" w:line="240" w:lineRule="auto"/>
              <w:rPr>
                <w:rFonts w:cs="Calibri"/>
                <w:sz w:val="24"/>
                <w:szCs w:val="24"/>
                <w:lang w:eastAsia="pl-PL"/>
              </w:rPr>
            </w:pPr>
            <w:r>
              <w:rPr>
                <w:rFonts w:eastAsia="Calibri" w:cs="Calibri"/>
                <w:sz w:val="24"/>
                <w:szCs w:val="24"/>
                <w:lang w:eastAsia="pl-PL"/>
              </w:rPr>
              <w:t>Nie dotyczy</w:t>
            </w:r>
          </w:p>
        </w:tc>
      </w:tr>
    </w:tbl>
    <w:p w14:paraId="5ADD7F81" w14:textId="77777777" w:rsidR="007961FA" w:rsidRDefault="007961FA">
      <w:pPr>
        <w:pStyle w:val="Akapitzlist"/>
        <w:ind w:left="1080"/>
        <w:rPr>
          <w:b/>
        </w:rPr>
      </w:pPr>
    </w:p>
    <w:p w14:paraId="7E71627C" w14:textId="77777777" w:rsidR="007961FA" w:rsidRDefault="00457556">
      <w:pPr>
        <w:pStyle w:val="Akapitzlist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7961FA" w14:paraId="601111AA" w14:textId="77777777" w:rsidTr="00844106">
        <w:trPr>
          <w:trHeight w:val="850"/>
        </w:trPr>
        <w:tc>
          <w:tcPr>
            <w:tcW w:w="9212" w:type="dxa"/>
            <w:shd w:val="clear" w:color="auto" w:fill="auto"/>
          </w:tcPr>
          <w:p w14:paraId="5EDC1B18" w14:textId="3056138C" w:rsidR="007961FA" w:rsidRPr="00844106" w:rsidRDefault="0054771B" w:rsidP="003E58F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bCs/>
              </w:rPr>
            </w:pPr>
            <w:r w:rsidRPr="00844106">
              <w:rPr>
                <w:rFonts w:eastAsia="Calibri"/>
                <w:bCs/>
              </w:rPr>
              <w:t xml:space="preserve">Tożsamość naukowa </w:t>
            </w:r>
            <w:r w:rsidR="00457556" w:rsidRPr="00844106">
              <w:rPr>
                <w:rFonts w:eastAsia="Calibri"/>
                <w:bCs/>
              </w:rPr>
              <w:t>KNS.</w:t>
            </w:r>
          </w:p>
          <w:p w14:paraId="00606148" w14:textId="1BA30641" w:rsidR="007961FA" w:rsidRPr="00844106" w:rsidRDefault="0054771B" w:rsidP="003E58F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bCs/>
              </w:rPr>
            </w:pPr>
            <w:r w:rsidRPr="00844106">
              <w:rPr>
                <w:rFonts w:eastAsia="Calibri"/>
                <w:bCs/>
              </w:rPr>
              <w:t>Źródła etyki społeczno-gospodarczej</w:t>
            </w:r>
            <w:r w:rsidR="00457556" w:rsidRPr="00844106">
              <w:rPr>
                <w:rFonts w:eastAsia="Calibri"/>
                <w:bCs/>
              </w:rPr>
              <w:t>.</w:t>
            </w:r>
          </w:p>
          <w:p w14:paraId="0C80B517" w14:textId="1C43FA3C" w:rsidR="007961FA" w:rsidRPr="00844106" w:rsidRDefault="00457556" w:rsidP="003E58F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bCs/>
              </w:rPr>
            </w:pPr>
            <w:r w:rsidRPr="00844106">
              <w:rPr>
                <w:rFonts w:eastAsia="Calibri"/>
                <w:bCs/>
              </w:rPr>
              <w:t>Główne wartości i zasady życia społecznego zapisane w Konstytucji RP.</w:t>
            </w:r>
          </w:p>
          <w:p w14:paraId="40AFF418" w14:textId="5A105C5F" w:rsidR="007961FA" w:rsidRPr="00844106" w:rsidRDefault="00457556" w:rsidP="003E58F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bCs/>
              </w:rPr>
            </w:pPr>
            <w:r w:rsidRPr="00844106">
              <w:rPr>
                <w:rFonts w:eastAsia="Calibri"/>
                <w:bCs/>
              </w:rPr>
              <w:t>Teoria sprawiedliwości społecznej.</w:t>
            </w:r>
          </w:p>
          <w:p w14:paraId="7BCC653B" w14:textId="6BBE2068" w:rsidR="0004464D" w:rsidRPr="00844106" w:rsidRDefault="00457556" w:rsidP="003E58F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rFonts w:eastAsia="Calibri"/>
                <w:bCs/>
              </w:rPr>
            </w:pPr>
            <w:r w:rsidRPr="00844106">
              <w:rPr>
                <w:rFonts w:eastAsia="Calibri"/>
                <w:bCs/>
              </w:rPr>
              <w:t>Idea społecznej odpowiedzialności przedsiębiorstw (geneza, główne założenia, zastosowanie).</w:t>
            </w:r>
          </w:p>
          <w:p w14:paraId="2AAFFAAB" w14:textId="77777777" w:rsidR="003A64D2" w:rsidRPr="003A64D2" w:rsidRDefault="0004464D" w:rsidP="003E58F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rStyle w:val="normaltextrun"/>
                <w:rFonts w:eastAsia="Calibri"/>
                <w:bCs/>
              </w:rPr>
            </w:pPr>
            <w:r w:rsidRPr="008C2562">
              <w:rPr>
                <w:rStyle w:val="normaltextrun"/>
                <w:rFonts w:ascii="Calibri" w:hAnsi="Calibri" w:cs="Calibri"/>
              </w:rPr>
              <w:t>Interesariusze współczesnego przedsiębiorstwa.</w:t>
            </w:r>
          </w:p>
          <w:p w14:paraId="201DCCEB" w14:textId="120D7E39" w:rsidR="007961FA" w:rsidRPr="008C2562" w:rsidRDefault="00457556" w:rsidP="003E58F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rFonts w:eastAsia="Calibri"/>
                <w:bCs/>
              </w:rPr>
            </w:pPr>
            <w:r w:rsidRPr="008C2562">
              <w:rPr>
                <w:rFonts w:eastAsia="Calibri"/>
                <w:bCs/>
              </w:rPr>
              <w:t>Personalistyczna koncepcja pracy ludzkiej. Priorytet pracy przed kapitałem.</w:t>
            </w:r>
          </w:p>
          <w:p w14:paraId="31FAC76A" w14:textId="7CC10625" w:rsidR="0071421A" w:rsidRPr="0071421A" w:rsidRDefault="0054771B" w:rsidP="008C2562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rFonts w:eastAsia="Calibri"/>
                <w:bCs/>
              </w:rPr>
            </w:pPr>
            <w:r w:rsidRPr="0071421A">
              <w:rPr>
                <w:rFonts w:eastAsia="Calibri"/>
                <w:bCs/>
              </w:rPr>
              <w:t xml:space="preserve">Koncepcja własności. Funkcje własności prywatnej. </w:t>
            </w:r>
          </w:p>
          <w:p w14:paraId="3F296320" w14:textId="5C982E36" w:rsidR="007E647E" w:rsidRPr="008D4AEA" w:rsidRDefault="00512858" w:rsidP="008D4AEA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447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Wolnościowe</w:t>
            </w:r>
            <w:r w:rsidR="00572A7B">
              <w:rPr>
                <w:rFonts w:eastAsia="Calibri"/>
                <w:bCs/>
              </w:rPr>
              <w:t>, s</w:t>
            </w:r>
            <w:r w:rsidR="002B0378">
              <w:rPr>
                <w:rFonts w:eastAsia="Calibri"/>
                <w:bCs/>
              </w:rPr>
              <w:t>połeczne</w:t>
            </w:r>
            <w:r w:rsidR="00572A7B">
              <w:rPr>
                <w:rFonts w:eastAsia="Calibri"/>
                <w:bCs/>
              </w:rPr>
              <w:t xml:space="preserve"> i solidarnościowe pr</w:t>
            </w:r>
            <w:r w:rsidR="00457556" w:rsidRPr="00417E24">
              <w:rPr>
                <w:rFonts w:eastAsia="Calibri"/>
                <w:bCs/>
              </w:rPr>
              <w:t>awa człowieka.</w:t>
            </w:r>
          </w:p>
          <w:p w14:paraId="37E10801" w14:textId="3B48C551" w:rsidR="0065598A" w:rsidRPr="0065598A" w:rsidRDefault="008D4AEA" w:rsidP="0071421A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306"/>
              <w:jc w:val="both"/>
              <w:rPr>
                <w:bCs/>
              </w:rPr>
            </w:pPr>
            <w:r>
              <w:rPr>
                <w:rFonts w:eastAsia="Calibri"/>
                <w:bCs/>
              </w:rPr>
              <w:t>Źródł</w:t>
            </w:r>
            <w:r w:rsidR="00E35CC5">
              <w:rPr>
                <w:rFonts w:eastAsia="Calibri"/>
                <w:bCs/>
              </w:rPr>
              <w:t>a</w:t>
            </w:r>
            <w:r>
              <w:rPr>
                <w:rFonts w:eastAsia="Calibri"/>
                <w:bCs/>
              </w:rPr>
              <w:t xml:space="preserve"> kapitału ludzkiego</w:t>
            </w:r>
            <w:r w:rsidR="00E35CC5">
              <w:rPr>
                <w:rFonts w:eastAsia="Calibri"/>
                <w:bCs/>
              </w:rPr>
              <w:t xml:space="preserve">. </w:t>
            </w:r>
            <w:r w:rsidR="00417E24" w:rsidRPr="003A64D2">
              <w:rPr>
                <w:rFonts w:eastAsia="Calibri"/>
                <w:bCs/>
              </w:rPr>
              <w:t>Rodzina: prawa i obowiązki.</w:t>
            </w:r>
          </w:p>
          <w:p w14:paraId="691FE453" w14:textId="77777777" w:rsidR="0065598A" w:rsidRPr="0065598A" w:rsidRDefault="00457556" w:rsidP="0071421A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306"/>
              <w:jc w:val="both"/>
              <w:rPr>
                <w:bCs/>
              </w:rPr>
            </w:pPr>
            <w:r w:rsidRPr="0065598A">
              <w:rPr>
                <w:rFonts w:eastAsia="Calibri"/>
                <w:bCs/>
              </w:rPr>
              <w:t>Ideologie społeczne i ich ocena z perspektywy KNS.</w:t>
            </w:r>
          </w:p>
          <w:p w14:paraId="4FF856C6" w14:textId="77777777" w:rsidR="0065598A" w:rsidRPr="0065598A" w:rsidRDefault="00457556" w:rsidP="0071421A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306"/>
              <w:jc w:val="both"/>
              <w:rPr>
                <w:bCs/>
              </w:rPr>
            </w:pPr>
            <w:r w:rsidRPr="0065598A">
              <w:rPr>
                <w:rFonts w:eastAsia="Calibri"/>
                <w:bCs/>
              </w:rPr>
              <w:t>Naród, państwo, społeczeństwo, struktury pośredni</w:t>
            </w:r>
            <w:r w:rsidR="0004464D" w:rsidRPr="0065598A">
              <w:rPr>
                <w:rFonts w:eastAsia="Calibri"/>
                <w:bCs/>
              </w:rPr>
              <w:t>e.</w:t>
            </w:r>
          </w:p>
          <w:p w14:paraId="46C583CF" w14:textId="77777777" w:rsidR="002F4948" w:rsidRPr="00E86E76" w:rsidRDefault="00457556" w:rsidP="0065598A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306"/>
              <w:jc w:val="both"/>
              <w:rPr>
                <w:rStyle w:val="normaltextrun"/>
                <w:bCs/>
              </w:rPr>
            </w:pPr>
            <w:r w:rsidRPr="0065598A">
              <w:rPr>
                <w:rFonts w:eastAsia="Calibri"/>
                <w:bCs/>
              </w:rPr>
              <w:t>System medialny jako tuba interesu społecznego.</w:t>
            </w:r>
            <w:r w:rsidR="0004464D" w:rsidRPr="0065598A"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5A61152F" w14:textId="431C5B21" w:rsidR="00E86E76" w:rsidRPr="002F4948" w:rsidRDefault="00C25783" w:rsidP="0065598A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306"/>
              <w:jc w:val="both"/>
              <w:rPr>
                <w:rStyle w:val="normaltextrun"/>
                <w:bCs/>
              </w:rPr>
            </w:pPr>
            <w:r>
              <w:rPr>
                <w:rStyle w:val="normaltextrun"/>
                <w:rFonts w:ascii="Calibri" w:hAnsi="Calibri" w:cs="Calibri"/>
              </w:rPr>
              <w:t xml:space="preserve">Etyczny wymiar społeczeństwa </w:t>
            </w:r>
            <w:r w:rsidR="00566CD9">
              <w:rPr>
                <w:rStyle w:val="normaltextrun"/>
                <w:rFonts w:ascii="Calibri" w:hAnsi="Calibri" w:cs="Calibri"/>
              </w:rPr>
              <w:t xml:space="preserve">i gospodarki </w:t>
            </w:r>
            <w:r>
              <w:rPr>
                <w:rStyle w:val="normaltextrun"/>
                <w:rFonts w:ascii="Calibri" w:hAnsi="Calibri" w:cs="Calibri"/>
              </w:rPr>
              <w:t>cyfrowe</w:t>
            </w:r>
            <w:r w:rsidR="00566CD9">
              <w:rPr>
                <w:rStyle w:val="normaltextrun"/>
                <w:rFonts w:ascii="Calibri" w:hAnsi="Calibri" w:cs="Calibri"/>
              </w:rPr>
              <w:t>j.</w:t>
            </w:r>
            <w:r>
              <w:rPr>
                <w:rStyle w:val="normaltextrun"/>
                <w:rFonts w:ascii="Calibri" w:hAnsi="Calibri" w:cs="Calibri"/>
              </w:rPr>
              <w:t xml:space="preserve"> </w:t>
            </w:r>
          </w:p>
          <w:p w14:paraId="5018BCD5" w14:textId="40BE5D46" w:rsidR="007961FA" w:rsidRPr="00566CD9" w:rsidRDefault="00457556" w:rsidP="00566CD9">
            <w:pPr>
              <w:pStyle w:val="Akapitzlist"/>
              <w:numPr>
                <w:ilvl w:val="3"/>
                <w:numId w:val="6"/>
              </w:numPr>
              <w:spacing w:after="0" w:line="240" w:lineRule="auto"/>
              <w:ind w:left="306"/>
              <w:jc w:val="both"/>
              <w:rPr>
                <w:bCs/>
              </w:rPr>
            </w:pPr>
            <w:r w:rsidRPr="002F4948">
              <w:rPr>
                <w:rFonts w:eastAsia="Calibri"/>
                <w:bCs/>
              </w:rPr>
              <w:lastRenderedPageBreak/>
              <w:t xml:space="preserve">Troska o środowisko naturalne jako przejaw solidarności globalnej. </w:t>
            </w:r>
            <w:r w:rsidR="00ED7B90">
              <w:rPr>
                <w:rFonts w:eastAsia="Calibri"/>
                <w:bCs/>
              </w:rPr>
              <w:t>E</w:t>
            </w:r>
            <w:r w:rsidRPr="002F4948">
              <w:rPr>
                <w:rFonts w:eastAsia="Calibri"/>
                <w:bCs/>
              </w:rPr>
              <w:t>kologi</w:t>
            </w:r>
            <w:r w:rsidR="00ED7B90">
              <w:rPr>
                <w:rFonts w:eastAsia="Calibri"/>
                <w:bCs/>
              </w:rPr>
              <w:t>a</w:t>
            </w:r>
            <w:r w:rsidRPr="002F4948">
              <w:rPr>
                <w:rFonts w:eastAsia="Calibri"/>
                <w:bCs/>
              </w:rPr>
              <w:t xml:space="preserve"> integraln</w:t>
            </w:r>
            <w:r w:rsidR="00ED7B90">
              <w:rPr>
                <w:rFonts w:eastAsia="Calibri"/>
                <w:bCs/>
              </w:rPr>
              <w:t>a</w:t>
            </w:r>
            <w:r w:rsidR="00ED7B90" w:rsidRPr="002F4948">
              <w:rPr>
                <w:rStyle w:val="normaltextrun"/>
                <w:rFonts w:ascii="Calibri" w:hAnsi="Calibri" w:cs="Calibri"/>
              </w:rPr>
              <w:t xml:space="preserve"> w epoce </w:t>
            </w:r>
            <w:proofErr w:type="spellStart"/>
            <w:r w:rsidR="00ED7B90" w:rsidRPr="002F4948">
              <w:rPr>
                <w:rStyle w:val="normaltextrun"/>
                <w:rFonts w:ascii="Calibri" w:hAnsi="Calibri" w:cs="Calibri"/>
              </w:rPr>
              <w:t>antropocenu</w:t>
            </w:r>
            <w:proofErr w:type="spellEnd"/>
            <w:r w:rsidR="00E86E76">
              <w:rPr>
                <w:rStyle w:val="normaltextrun"/>
                <w:rFonts w:ascii="Calibri" w:hAnsi="Calibri" w:cs="Calibri"/>
              </w:rPr>
              <w:t>.</w:t>
            </w:r>
          </w:p>
        </w:tc>
      </w:tr>
    </w:tbl>
    <w:p w14:paraId="70E832E8" w14:textId="77777777" w:rsidR="007961FA" w:rsidRDefault="007961FA">
      <w:pPr>
        <w:rPr>
          <w:b/>
        </w:rPr>
      </w:pPr>
    </w:p>
    <w:p w14:paraId="16F5F1A2" w14:textId="77777777" w:rsidR="007961FA" w:rsidRDefault="0045755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1100"/>
        <w:gridCol w:w="2695"/>
        <w:gridCol w:w="2834"/>
        <w:gridCol w:w="2583"/>
      </w:tblGrid>
      <w:tr w:rsidR="007961FA" w14:paraId="1757C0EB" w14:textId="77777777">
        <w:tc>
          <w:tcPr>
            <w:tcW w:w="1099" w:type="dxa"/>
            <w:shd w:val="clear" w:color="auto" w:fill="auto"/>
            <w:vAlign w:val="center"/>
          </w:tcPr>
          <w:p w14:paraId="7443975C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Symbol efektu</w:t>
            </w:r>
          </w:p>
        </w:tc>
        <w:tc>
          <w:tcPr>
            <w:tcW w:w="2695" w:type="dxa"/>
            <w:shd w:val="clear" w:color="auto" w:fill="auto"/>
            <w:vAlign w:val="center"/>
          </w:tcPr>
          <w:p w14:paraId="60129783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dydaktyczne</w:t>
            </w:r>
          </w:p>
          <w:p w14:paraId="444B566E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834" w:type="dxa"/>
            <w:shd w:val="clear" w:color="auto" w:fill="auto"/>
            <w:vAlign w:val="center"/>
          </w:tcPr>
          <w:p w14:paraId="193F8BA3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Metody weryfikacji</w:t>
            </w:r>
          </w:p>
          <w:p w14:paraId="35DC9F3E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  <w:tc>
          <w:tcPr>
            <w:tcW w:w="2583" w:type="dxa"/>
            <w:shd w:val="clear" w:color="auto" w:fill="auto"/>
            <w:vAlign w:val="center"/>
          </w:tcPr>
          <w:p w14:paraId="6BD5DBBF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Sposoby dokumentacji</w:t>
            </w:r>
          </w:p>
          <w:p w14:paraId="065C2082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  <w:i/>
                <w:sz w:val="18"/>
                <w:szCs w:val="18"/>
              </w:rPr>
              <w:t>(lista wyboru)</w:t>
            </w:r>
          </w:p>
        </w:tc>
      </w:tr>
      <w:tr w:rsidR="007961FA" w14:paraId="7710A051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1C90B8DC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WIEDZA</w:t>
            </w:r>
          </w:p>
        </w:tc>
      </w:tr>
      <w:tr w:rsidR="007961FA" w14:paraId="17A96453" w14:textId="77777777">
        <w:tc>
          <w:tcPr>
            <w:tcW w:w="1099" w:type="dxa"/>
            <w:shd w:val="clear" w:color="auto" w:fill="auto"/>
          </w:tcPr>
          <w:p w14:paraId="53E33FCE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W_01-W_02</w:t>
            </w:r>
          </w:p>
        </w:tc>
        <w:tc>
          <w:tcPr>
            <w:tcW w:w="2695" w:type="dxa"/>
            <w:shd w:val="clear" w:color="auto" w:fill="auto"/>
          </w:tcPr>
          <w:p w14:paraId="5013AFC1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 konwencjonalny</w:t>
            </w:r>
          </w:p>
        </w:tc>
        <w:tc>
          <w:tcPr>
            <w:tcW w:w="2834" w:type="dxa"/>
            <w:shd w:val="clear" w:color="auto" w:fill="auto"/>
          </w:tcPr>
          <w:p w14:paraId="1E4A6ADD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Egzamin pisemny</w:t>
            </w:r>
          </w:p>
        </w:tc>
        <w:tc>
          <w:tcPr>
            <w:tcW w:w="2583" w:type="dxa"/>
            <w:shd w:val="clear" w:color="auto" w:fill="auto"/>
          </w:tcPr>
          <w:p w14:paraId="27F25B68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Karta egzaminacyjna; dokumentacja testów</w:t>
            </w:r>
          </w:p>
        </w:tc>
      </w:tr>
      <w:tr w:rsidR="007961FA" w14:paraId="6D7A2B17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587A78D3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UMIEJĘTNOŚCI</w:t>
            </w:r>
          </w:p>
        </w:tc>
      </w:tr>
      <w:tr w:rsidR="007961FA" w14:paraId="7A512467" w14:textId="77777777">
        <w:tc>
          <w:tcPr>
            <w:tcW w:w="1099" w:type="dxa"/>
            <w:shd w:val="clear" w:color="auto" w:fill="auto"/>
          </w:tcPr>
          <w:p w14:paraId="02D3F58A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U_01-U_02</w:t>
            </w:r>
          </w:p>
        </w:tc>
        <w:tc>
          <w:tcPr>
            <w:tcW w:w="2695" w:type="dxa"/>
            <w:shd w:val="clear" w:color="auto" w:fill="auto"/>
          </w:tcPr>
          <w:p w14:paraId="187F5D11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 konwencjonalny</w:t>
            </w:r>
          </w:p>
          <w:p w14:paraId="692215EA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</w:t>
            </w:r>
          </w:p>
        </w:tc>
        <w:tc>
          <w:tcPr>
            <w:tcW w:w="2834" w:type="dxa"/>
            <w:shd w:val="clear" w:color="auto" w:fill="auto"/>
          </w:tcPr>
          <w:p w14:paraId="5BAFA073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Egzamin pisemny</w:t>
            </w:r>
          </w:p>
          <w:p w14:paraId="7BAB51F0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76734F2F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Karta egzaminacyjna</w:t>
            </w:r>
          </w:p>
          <w:p w14:paraId="40B1A699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dokumentacja testów</w:t>
            </w:r>
          </w:p>
        </w:tc>
      </w:tr>
      <w:tr w:rsidR="007961FA" w14:paraId="7AE5D4F3" w14:textId="77777777">
        <w:tc>
          <w:tcPr>
            <w:tcW w:w="9211" w:type="dxa"/>
            <w:gridSpan w:val="4"/>
            <w:shd w:val="clear" w:color="auto" w:fill="auto"/>
            <w:vAlign w:val="center"/>
          </w:tcPr>
          <w:p w14:paraId="15EE880B" w14:textId="77777777" w:rsidR="007961FA" w:rsidRDefault="00457556">
            <w:pPr>
              <w:spacing w:after="0" w:line="240" w:lineRule="auto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KOMPETENCJE SPOŁECZNE</w:t>
            </w:r>
          </w:p>
        </w:tc>
      </w:tr>
      <w:tr w:rsidR="007961FA" w14:paraId="325B6D44" w14:textId="77777777">
        <w:tc>
          <w:tcPr>
            <w:tcW w:w="1099" w:type="dxa"/>
            <w:shd w:val="clear" w:color="auto" w:fill="auto"/>
          </w:tcPr>
          <w:p w14:paraId="5E276F01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K_01-K_03</w:t>
            </w:r>
          </w:p>
        </w:tc>
        <w:tc>
          <w:tcPr>
            <w:tcW w:w="2695" w:type="dxa"/>
            <w:shd w:val="clear" w:color="auto" w:fill="auto"/>
          </w:tcPr>
          <w:p w14:paraId="29DA559A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Wykład konwencjonalny</w:t>
            </w:r>
          </w:p>
          <w:p w14:paraId="3812BF6D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Dyskusja</w:t>
            </w:r>
          </w:p>
        </w:tc>
        <w:tc>
          <w:tcPr>
            <w:tcW w:w="2834" w:type="dxa"/>
            <w:shd w:val="clear" w:color="auto" w:fill="auto"/>
          </w:tcPr>
          <w:p w14:paraId="42468134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Egzamin pisemny</w:t>
            </w:r>
          </w:p>
          <w:p w14:paraId="25D7821B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Obserwacja</w:t>
            </w:r>
          </w:p>
        </w:tc>
        <w:tc>
          <w:tcPr>
            <w:tcW w:w="2583" w:type="dxa"/>
            <w:shd w:val="clear" w:color="auto" w:fill="auto"/>
          </w:tcPr>
          <w:p w14:paraId="57A713F5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Karta egzaminacyjna</w:t>
            </w:r>
          </w:p>
          <w:p w14:paraId="3FB58927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dokumentacja testów</w:t>
            </w:r>
          </w:p>
        </w:tc>
      </w:tr>
    </w:tbl>
    <w:p w14:paraId="787BAA35" w14:textId="77777777" w:rsidR="007961FA" w:rsidRDefault="007961FA">
      <w:pPr>
        <w:rPr>
          <w:b/>
        </w:rPr>
      </w:pPr>
    </w:p>
    <w:p w14:paraId="3B3DB1A9" w14:textId="77777777" w:rsidR="007961FA" w:rsidRDefault="0045755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Kryteria oceny, wagi…</w:t>
      </w:r>
    </w:p>
    <w:p w14:paraId="48D5645B" w14:textId="77777777" w:rsidR="007961FA" w:rsidRDefault="0045755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Ocena niedostateczna: </w:t>
      </w:r>
      <w:r>
        <w:rPr>
          <w:rFonts w:eastAsia="Calibri" w:cs="Calibri"/>
        </w:rPr>
        <w:t xml:space="preserve">Student nie jest w stanie zaprezentować podstawowego poziomu wiedzy na temat zagadnień omówionych na wykładzie i opisanych w literaturze obowiązkowej, tj. nie wykazuje dostatecznej wiedzy na sprecyzowane przez egzaminatora pytania/tezy egzaminacyjne. W przypadku testu na 15 pkt osiągnął 0-7 pkt. </w:t>
      </w:r>
    </w:p>
    <w:p w14:paraId="3D77C73B" w14:textId="77777777" w:rsidR="007961FA" w:rsidRDefault="0045755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Ocena dostateczna: </w:t>
      </w:r>
      <w:r>
        <w:rPr>
          <w:rFonts w:eastAsia="Calibri" w:cs="Calibri"/>
        </w:rPr>
        <w:t xml:space="preserve">Student jest w stanie zaprezentować tylko podstawową wiedzę na temat zagadnień omówionych na wykładzie i opisanych w literaturze obowiązkowej, nie jest jednak w stanie krytycznie uzasadniać stawianych tez. W przypadku testu na 15 pkt osiągnął 8-10 pkt. </w:t>
      </w:r>
    </w:p>
    <w:p w14:paraId="372309E9" w14:textId="77777777" w:rsidR="007961FA" w:rsidRDefault="0045755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 xml:space="preserve">Ocena dobra: </w:t>
      </w:r>
      <w:r>
        <w:rPr>
          <w:rFonts w:eastAsia="Calibri" w:cs="Calibri"/>
        </w:rPr>
        <w:t xml:space="preserve">Student jest w stanie zaprezentować wiedzę na temat zagadnień omówionych na wykładzie i opisanych w literaturze obowiązkowej. Student wykazuje jedynie nieliczne braki wiedzy przekazanej na wykładzie; braki te nie odnoszą się do istotnych/podstawowych treści wykładu. Student pogłębił wiedzę zapoznając się ze wskazaną przez wykładowcę literaturę uzupełniającą wyłożone treści. W przypadku testu na 15 pkt osiągnął 11-12 pkt. </w:t>
      </w:r>
    </w:p>
    <w:p w14:paraId="56400390" w14:textId="77777777" w:rsidR="007961FA" w:rsidRDefault="0045755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</w:rPr>
        <w:t>Ocena bardzo dobra:</w:t>
      </w:r>
      <w:r>
        <w:rPr>
          <w:rFonts w:eastAsia="Calibri" w:cs="Calibri"/>
        </w:rPr>
        <w:t xml:space="preserve"> Student wykazuje pogłębioną wiedzę na temat zagadnień omówionych na wykładzie i opisanych w literaturze obowiązkowej. Student pogłębił wiedzę zapoznając się ze wskazaną przez wykładowcę literaturę uzupełniającą wyłożone treści. O ocenie bardzo dobrej decyduje ponadto: umiejętność sprawnego kojarzenia faktów i łączenia ich w szersze związki, krytycznego uzasadniania, rozumienia przyczyn, rozbieżności i konwergencji omawianych zagadnień, trafność i spójność wypowiedzi. W przypadku testu na 15 pkt osiągnął 13-15 pkt.</w:t>
      </w:r>
    </w:p>
    <w:p w14:paraId="70D595EF" w14:textId="77777777" w:rsidR="007961FA" w:rsidRDefault="00457556">
      <w:pPr>
        <w:ind w:left="360"/>
        <w:jc w:val="both"/>
        <w:rPr>
          <w:rFonts w:ascii="Calibri" w:eastAsia="Calibri" w:hAnsi="Calibri" w:cs="Calibri"/>
        </w:rPr>
      </w:pPr>
      <w:r>
        <w:rPr>
          <w:rFonts w:eastAsia="Calibri" w:cs="Calibri"/>
          <w:b/>
          <w:bCs/>
        </w:rPr>
        <w:t>Inne uwagi:</w:t>
      </w:r>
      <w:r>
        <w:rPr>
          <w:rFonts w:eastAsia="Calibri" w:cs="Calibri"/>
        </w:rPr>
        <w:t xml:space="preserve"> Prowadzący wykład podaje Studentom tezy egzaminacyjne na ostatnim wykładzie w semestrze.</w:t>
      </w:r>
    </w:p>
    <w:p w14:paraId="4CE5DDDF" w14:textId="77777777" w:rsidR="007961FA" w:rsidRDefault="007961FA">
      <w:pPr>
        <w:ind w:left="360"/>
        <w:jc w:val="both"/>
        <w:rPr>
          <w:rFonts w:ascii="Calibri" w:eastAsia="Calibri" w:hAnsi="Calibri" w:cs="Calibri"/>
        </w:rPr>
      </w:pPr>
    </w:p>
    <w:p w14:paraId="297D8B28" w14:textId="77777777" w:rsidR="007961FA" w:rsidRDefault="007961FA">
      <w:pPr>
        <w:ind w:left="360"/>
        <w:jc w:val="both"/>
        <w:rPr>
          <w:rFonts w:ascii="Calibri" w:eastAsia="Calibri" w:hAnsi="Calibri" w:cs="Calibri"/>
        </w:rPr>
      </w:pPr>
    </w:p>
    <w:p w14:paraId="50503A86" w14:textId="77777777" w:rsidR="007961FA" w:rsidRDefault="0045755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lastRenderedPageBreak/>
        <w:t>Obciążenie pracą studenta</w:t>
      </w:r>
    </w:p>
    <w:tbl>
      <w:tblPr>
        <w:tblStyle w:val="Tabela-Siatka"/>
        <w:tblW w:w="9211" w:type="dxa"/>
        <w:tblLayout w:type="fixed"/>
        <w:tblLook w:val="04A0" w:firstRow="1" w:lastRow="0" w:firstColumn="1" w:lastColumn="0" w:noHBand="0" w:noVBand="1"/>
      </w:tblPr>
      <w:tblGrid>
        <w:gridCol w:w="4605"/>
        <w:gridCol w:w="4606"/>
      </w:tblGrid>
      <w:tr w:rsidR="007961FA" w14:paraId="2D898A64" w14:textId="77777777">
        <w:tc>
          <w:tcPr>
            <w:tcW w:w="4605" w:type="dxa"/>
            <w:shd w:val="clear" w:color="auto" w:fill="auto"/>
          </w:tcPr>
          <w:p w14:paraId="30E1FAFA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Forma aktywności studenta</w:t>
            </w:r>
          </w:p>
        </w:tc>
        <w:tc>
          <w:tcPr>
            <w:tcW w:w="4605" w:type="dxa"/>
            <w:shd w:val="clear" w:color="auto" w:fill="auto"/>
          </w:tcPr>
          <w:p w14:paraId="6866098E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</w:t>
            </w:r>
          </w:p>
        </w:tc>
      </w:tr>
      <w:tr w:rsidR="007961FA" w14:paraId="3F6A99CE" w14:textId="77777777">
        <w:tc>
          <w:tcPr>
            <w:tcW w:w="4605" w:type="dxa"/>
            <w:shd w:val="clear" w:color="auto" w:fill="auto"/>
          </w:tcPr>
          <w:p w14:paraId="108EF732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kontaktowych z nauczycielem</w:t>
            </w:r>
          </w:p>
          <w:p w14:paraId="57ADFCF9" w14:textId="77777777" w:rsidR="007961FA" w:rsidRDefault="007961FA">
            <w:pPr>
              <w:spacing w:after="0" w:line="240" w:lineRule="auto"/>
              <w:rPr>
                <w:i/>
                <w:sz w:val="18"/>
                <w:szCs w:val="18"/>
              </w:rPr>
            </w:pPr>
          </w:p>
        </w:tc>
        <w:tc>
          <w:tcPr>
            <w:tcW w:w="4605" w:type="dxa"/>
            <w:shd w:val="clear" w:color="auto" w:fill="auto"/>
          </w:tcPr>
          <w:p w14:paraId="48CEC50F" w14:textId="77777777" w:rsidR="007961FA" w:rsidRDefault="00457556">
            <w:pPr>
              <w:spacing w:after="0" w:line="240" w:lineRule="auto"/>
              <w:rPr>
                <w:b/>
              </w:rPr>
            </w:pPr>
            <w:r>
              <w:rPr>
                <w:rFonts w:eastAsia="Calibri" w:cs="Calibri"/>
              </w:rPr>
              <w:t>30</w:t>
            </w:r>
          </w:p>
        </w:tc>
      </w:tr>
      <w:tr w:rsidR="007961FA" w14:paraId="65B57283" w14:textId="77777777">
        <w:tc>
          <w:tcPr>
            <w:tcW w:w="4605" w:type="dxa"/>
            <w:shd w:val="clear" w:color="auto" w:fill="auto"/>
          </w:tcPr>
          <w:p w14:paraId="779B4701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Liczba godzin indywidualnej pracy studenta</w:t>
            </w:r>
          </w:p>
        </w:tc>
        <w:tc>
          <w:tcPr>
            <w:tcW w:w="4605" w:type="dxa"/>
            <w:shd w:val="clear" w:color="auto" w:fill="auto"/>
          </w:tcPr>
          <w:p w14:paraId="1AFFE308" w14:textId="77777777" w:rsidR="007961FA" w:rsidRDefault="00457556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30</w:t>
            </w:r>
          </w:p>
        </w:tc>
      </w:tr>
    </w:tbl>
    <w:p w14:paraId="7CF6E5CD" w14:textId="77777777" w:rsidR="007961FA" w:rsidRDefault="007961FA">
      <w:pPr>
        <w:spacing w:after="0"/>
        <w:rPr>
          <w:b/>
        </w:rPr>
      </w:pPr>
    </w:p>
    <w:p w14:paraId="26DADDFD" w14:textId="77777777" w:rsidR="007961FA" w:rsidRDefault="00457556">
      <w:pPr>
        <w:pStyle w:val="Akapitzlist"/>
        <w:numPr>
          <w:ilvl w:val="0"/>
          <w:numId w:val="2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9212"/>
      </w:tblGrid>
      <w:tr w:rsidR="007961FA" w14:paraId="7C6817A1" w14:textId="77777777">
        <w:tc>
          <w:tcPr>
            <w:tcW w:w="9212" w:type="dxa"/>
            <w:shd w:val="clear" w:color="auto" w:fill="auto"/>
          </w:tcPr>
          <w:p w14:paraId="3582F7C5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podstawowa</w:t>
            </w:r>
          </w:p>
        </w:tc>
      </w:tr>
      <w:tr w:rsidR="007961FA" w14:paraId="64556BF3" w14:textId="77777777">
        <w:tc>
          <w:tcPr>
            <w:tcW w:w="9212" w:type="dxa"/>
            <w:shd w:val="clear" w:color="auto" w:fill="auto"/>
          </w:tcPr>
          <w:p w14:paraId="18B0C279" w14:textId="1DDAA86B" w:rsidR="00053330" w:rsidRPr="00AB70AD" w:rsidRDefault="00053330">
            <w:pPr>
              <w:spacing w:after="0" w:line="240" w:lineRule="auto"/>
              <w:rPr>
                <w:rFonts w:cstheme="minorHAnsi"/>
              </w:rPr>
            </w:pPr>
            <w:r w:rsidRPr="00AB70AD">
              <w:rPr>
                <w:rFonts w:cstheme="minorHAnsi"/>
                <w:i/>
              </w:rPr>
              <w:t>Społeczna odpowiedzialność gospodarki. Perspektywa interdyscyplinarna</w:t>
            </w:r>
            <w:r w:rsidRPr="00AB70AD">
              <w:rPr>
                <w:rFonts w:cstheme="minorHAnsi"/>
              </w:rPr>
              <w:t xml:space="preserve">, </w:t>
            </w:r>
            <w:r w:rsidR="00C10028" w:rsidRPr="00AB70AD">
              <w:rPr>
                <w:rFonts w:cstheme="minorHAnsi"/>
              </w:rPr>
              <w:t xml:space="preserve">S. Fel (red.), </w:t>
            </w:r>
            <w:r w:rsidRPr="00AB70AD">
              <w:rPr>
                <w:rFonts w:cstheme="minorHAnsi"/>
              </w:rPr>
              <w:t>KUL, Lublin 2014</w:t>
            </w:r>
            <w:r w:rsidR="00C10028" w:rsidRPr="00AB70AD">
              <w:rPr>
                <w:rFonts w:cstheme="minorHAnsi"/>
              </w:rPr>
              <w:t>;</w:t>
            </w:r>
          </w:p>
          <w:p w14:paraId="30003146" w14:textId="61F75DB6" w:rsidR="009B2513" w:rsidRPr="00AB70AD" w:rsidRDefault="009B2513">
            <w:pPr>
              <w:spacing w:after="0" w:line="240" w:lineRule="auto"/>
              <w:rPr>
                <w:rFonts w:eastAsia="Calibri" w:cstheme="minorHAnsi"/>
                <w:bCs/>
              </w:rPr>
            </w:pPr>
            <w:r w:rsidRPr="00AB70AD">
              <w:rPr>
                <w:rFonts w:cstheme="minorHAnsi"/>
                <w:iCs/>
                <w:sz w:val="24"/>
                <w:szCs w:val="24"/>
              </w:rPr>
              <w:t>S</w:t>
            </w:r>
            <w:r w:rsidR="00AB70AD" w:rsidRPr="00AB70AD">
              <w:rPr>
                <w:rFonts w:cstheme="minorHAnsi"/>
                <w:iCs/>
                <w:sz w:val="24"/>
                <w:szCs w:val="24"/>
              </w:rPr>
              <w:t>.</w:t>
            </w:r>
            <w:r w:rsidRPr="00AB70AD">
              <w:rPr>
                <w:rFonts w:cstheme="minorHAnsi"/>
                <w:iCs/>
                <w:sz w:val="24"/>
                <w:szCs w:val="24"/>
              </w:rPr>
              <w:t xml:space="preserve"> Fel</w:t>
            </w:r>
            <w:r w:rsidRPr="00AB70AD">
              <w:rPr>
                <w:rFonts w:cstheme="minorHAnsi"/>
                <w:i/>
                <w:iCs/>
                <w:sz w:val="24"/>
                <w:szCs w:val="24"/>
              </w:rPr>
              <w:t xml:space="preserve">, </w:t>
            </w:r>
            <w:r w:rsidRPr="00AB70AD">
              <w:rPr>
                <w:rFonts w:cstheme="minorHAnsi"/>
                <w:bCs/>
                <w:i/>
                <w:color w:val="000000"/>
                <w:sz w:val="24"/>
                <w:szCs w:val="24"/>
              </w:rPr>
              <w:t>Etyka życia gospodarczego z elementami społecznej odpowiedzialności przedsiębiorstw</w:t>
            </w:r>
            <w:r w:rsidRPr="00AB70AD">
              <w:rPr>
                <w:rFonts w:cstheme="minorHAnsi"/>
                <w:bCs/>
                <w:color w:val="000000"/>
                <w:sz w:val="24"/>
                <w:szCs w:val="24"/>
              </w:rPr>
              <w:t>,</w:t>
            </w:r>
            <w:r w:rsidRPr="00AB70AD">
              <w:rPr>
                <w:rFonts w:cstheme="minorHAns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B70AD">
              <w:rPr>
                <w:rFonts w:cstheme="minorHAnsi"/>
                <w:sz w:val="24"/>
                <w:szCs w:val="24"/>
              </w:rPr>
              <w:t>w: P. Kawalec, A. Błachut, (red.), Lublin 2011, s. 52-80</w:t>
            </w:r>
            <w:r w:rsidR="00AB70AD" w:rsidRPr="00AB70AD">
              <w:rPr>
                <w:rFonts w:cstheme="minorHAnsi"/>
                <w:sz w:val="24"/>
                <w:szCs w:val="24"/>
              </w:rPr>
              <w:t xml:space="preserve">; </w:t>
            </w:r>
          </w:p>
          <w:p w14:paraId="405F7E3D" w14:textId="6B9D9D84" w:rsidR="007961FA" w:rsidRPr="00AB70AD" w:rsidRDefault="00457556">
            <w:pPr>
              <w:spacing w:after="0" w:line="240" w:lineRule="auto"/>
              <w:rPr>
                <w:rFonts w:cstheme="minorHAnsi"/>
                <w:bCs/>
              </w:rPr>
            </w:pPr>
            <w:r w:rsidRPr="00AB70AD">
              <w:rPr>
                <w:rFonts w:eastAsia="Calibri" w:cstheme="minorHAnsi"/>
                <w:bCs/>
              </w:rPr>
              <w:t>Katolicka nauka społeczna. Podstawowe zagadnienia z życia społecznego i politycznego, S. Fel, J. Kupny (red.), Księgarnia św. Jacka, Katowice 2007;</w:t>
            </w:r>
          </w:p>
          <w:p w14:paraId="2A7AC2A7" w14:textId="77777777" w:rsidR="007961FA" w:rsidRPr="00AB70AD" w:rsidRDefault="00457556">
            <w:pPr>
              <w:spacing w:after="0" w:line="240" w:lineRule="auto"/>
              <w:rPr>
                <w:rFonts w:cstheme="minorHAnsi"/>
                <w:bCs/>
              </w:rPr>
            </w:pPr>
            <w:r w:rsidRPr="00AB70AD">
              <w:rPr>
                <w:rFonts w:eastAsia="Calibri" w:cstheme="minorHAnsi"/>
                <w:bCs/>
              </w:rPr>
              <w:t>Katolicka nauka społeczna. Podstawowe zagadnienia z życia gospodarczego, J. Kupny, S Fel (red.), Księgarnia św. Jacka, Katowice 2003;</w:t>
            </w:r>
          </w:p>
          <w:p w14:paraId="4DF8FED7" w14:textId="77777777" w:rsidR="007961FA" w:rsidRDefault="00457556">
            <w:pPr>
              <w:spacing w:after="0" w:line="240" w:lineRule="auto"/>
              <w:rPr>
                <w:bCs/>
              </w:rPr>
            </w:pPr>
            <w:r w:rsidRPr="00AB70AD">
              <w:rPr>
                <w:rFonts w:eastAsia="Calibri" w:cstheme="minorHAnsi"/>
                <w:bCs/>
              </w:rPr>
              <w:t>S. Fel, Ł. Marczak, Powstanie i status zasady zrównoważonego rozwoju, „Roczniki Nauk Społecznych” 2016, nr 2, s. 185-205.</w:t>
            </w:r>
          </w:p>
        </w:tc>
      </w:tr>
      <w:tr w:rsidR="007961FA" w14:paraId="79C2B4AF" w14:textId="77777777">
        <w:tc>
          <w:tcPr>
            <w:tcW w:w="9212" w:type="dxa"/>
            <w:shd w:val="clear" w:color="auto" w:fill="auto"/>
          </w:tcPr>
          <w:p w14:paraId="3C1B2E0E" w14:textId="77777777" w:rsidR="007961FA" w:rsidRDefault="00457556">
            <w:pPr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Literatura uzupełniająca</w:t>
            </w:r>
          </w:p>
        </w:tc>
      </w:tr>
      <w:tr w:rsidR="007961FA" w:rsidRPr="00E204C2" w14:paraId="371E9ACB" w14:textId="77777777">
        <w:tc>
          <w:tcPr>
            <w:tcW w:w="9212" w:type="dxa"/>
            <w:shd w:val="clear" w:color="auto" w:fill="auto"/>
          </w:tcPr>
          <w:p w14:paraId="3D9AA977" w14:textId="77777777" w:rsidR="007961FA" w:rsidRDefault="00457556" w:rsidP="00D45905">
            <w:pPr>
              <w:spacing w:after="0" w:line="240" w:lineRule="auto"/>
              <w:rPr>
                <w:bCs/>
              </w:rPr>
            </w:pPr>
            <w:r>
              <w:rPr>
                <w:rFonts w:eastAsia="Calibri"/>
                <w:bCs/>
              </w:rPr>
              <w:t>M. Hułas, Ujarzmiony kapitał: praca- kapitał według Oswalda von Nell-</w:t>
            </w:r>
            <w:proofErr w:type="spellStart"/>
            <w:r>
              <w:rPr>
                <w:rFonts w:eastAsia="Calibri"/>
                <w:bCs/>
              </w:rPr>
              <w:t>Breuninga</w:t>
            </w:r>
            <w:proofErr w:type="spellEnd"/>
            <w:r>
              <w:rPr>
                <w:rFonts w:eastAsia="Calibri"/>
                <w:bCs/>
              </w:rPr>
              <w:t>, KUL, Lublin 2011; F.J. Mazurek, Godność osoby ludzkiej podstawą praw człowieka, Wydawnictwo KUL, Lublin 2001;</w:t>
            </w:r>
          </w:p>
          <w:p w14:paraId="4B788B93" w14:textId="77777777" w:rsidR="001A5F28" w:rsidRDefault="00F50B02" w:rsidP="00D45905">
            <w:pPr>
              <w:autoSpaceDE w:val="0"/>
              <w:autoSpaceDN w:val="0"/>
              <w:adjustRightInd w:val="0"/>
              <w:spacing w:after="0" w:line="240" w:lineRule="auto"/>
            </w:pPr>
            <w:r w:rsidRPr="007C28E7">
              <w:t>S. Fel, J. Kupny,</w:t>
            </w:r>
            <w:r>
              <w:rPr>
                <w:i/>
                <w:iCs/>
              </w:rPr>
              <w:t xml:space="preserve"> </w:t>
            </w:r>
            <w:r w:rsidRPr="004A677C">
              <w:rPr>
                <w:i/>
                <w:iCs/>
              </w:rPr>
              <w:t>Humanizacja życia gospodarczego.</w:t>
            </w:r>
            <w:r w:rsidRPr="004A677C">
              <w:rPr>
                <w:i/>
              </w:rPr>
              <w:t xml:space="preserve"> Wybrane zagadnienia z etyki gospodarczej</w:t>
            </w:r>
            <w:r>
              <w:rPr>
                <w:i/>
              </w:rPr>
              <w:t xml:space="preserve">, </w:t>
            </w:r>
            <w:r w:rsidRPr="004A677C">
              <w:t>Lublin 2000.</w:t>
            </w:r>
          </w:p>
          <w:p w14:paraId="281ABFF0" w14:textId="03D8F93A" w:rsidR="007961FA" w:rsidRPr="00632A5F" w:rsidRDefault="00632A5F" w:rsidP="00D45905">
            <w:pPr>
              <w:autoSpaceDE w:val="0"/>
              <w:autoSpaceDN w:val="0"/>
              <w:adjustRightInd w:val="0"/>
              <w:spacing w:after="0" w:line="240" w:lineRule="auto"/>
            </w:pPr>
            <w:r>
              <w:t>S</w:t>
            </w:r>
            <w:r w:rsidR="00D45905">
              <w:t>.</w:t>
            </w:r>
            <w:r>
              <w:t xml:space="preserve"> Fel (red.), Gospodarka społecznie zakorzeniona. Wybrane problemy z socjologii gospodarki, Lublin: Wydawnictwo KUL 2013.</w:t>
            </w:r>
          </w:p>
          <w:p w14:paraId="25421229" w14:textId="77777777" w:rsidR="007961FA" w:rsidRPr="00F50B02" w:rsidRDefault="00457556" w:rsidP="00D45905">
            <w:pPr>
              <w:spacing w:after="0" w:line="240" w:lineRule="auto"/>
              <w:rPr>
                <w:rFonts w:cstheme="minorHAnsi"/>
                <w:bCs/>
              </w:rPr>
            </w:pPr>
            <w:r w:rsidRPr="00F50B02">
              <w:rPr>
                <w:rFonts w:eastAsia="Calibri" w:cstheme="minorHAnsi"/>
                <w:bCs/>
              </w:rPr>
              <w:t>Dokumenty nauki społecznej Kościoła, Radwan M. i in. (red.), t. 1-2, RW KUL, Rzym-Lublin 1996;</w:t>
            </w:r>
          </w:p>
          <w:p w14:paraId="5E911557" w14:textId="50AD4DE1" w:rsidR="00B5667B" w:rsidRPr="00543EAF" w:rsidRDefault="00543EAF" w:rsidP="00D45905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Anna </w:t>
            </w:r>
            <w:r w:rsidR="00A468D9" w:rsidRPr="00543EAF">
              <w:rPr>
                <w:rFonts w:cstheme="minorHAnsi"/>
                <w:sz w:val="24"/>
                <w:szCs w:val="24"/>
              </w:rPr>
              <w:t>Bogusz, S</w:t>
            </w:r>
            <w:r w:rsidR="00E204C2" w:rsidRPr="00543EAF">
              <w:rPr>
                <w:rFonts w:cstheme="minorHAnsi"/>
                <w:sz w:val="24"/>
                <w:szCs w:val="24"/>
              </w:rPr>
              <w:t>.</w:t>
            </w:r>
            <w:r w:rsidR="00A468D9" w:rsidRPr="00543EAF">
              <w:rPr>
                <w:rFonts w:cstheme="minorHAnsi"/>
                <w:sz w:val="24"/>
                <w:szCs w:val="24"/>
              </w:rPr>
              <w:t xml:space="preserve"> Fel, </w:t>
            </w:r>
            <w:r w:rsidR="00A468D9" w:rsidRPr="00543EAF">
              <w:rPr>
                <w:rFonts w:cstheme="minorHAnsi"/>
                <w:i/>
                <w:sz w:val="24"/>
                <w:szCs w:val="24"/>
              </w:rPr>
              <w:t>Społeczne i gospodarcze znaczenie rodziny w kontekście sprawiedliwości pokoleniowej</w:t>
            </w:r>
            <w:r w:rsidR="00A468D9" w:rsidRPr="00543EAF">
              <w:rPr>
                <w:rFonts w:cstheme="minorHAnsi"/>
                <w:sz w:val="24"/>
                <w:szCs w:val="24"/>
              </w:rPr>
              <w:t xml:space="preserve">, w: D. Gizicka (red.), </w:t>
            </w:r>
            <w:r w:rsidR="00A468D9" w:rsidRPr="00543EAF">
              <w:rPr>
                <w:rFonts w:cstheme="minorHAnsi"/>
                <w:i/>
                <w:sz w:val="24"/>
                <w:szCs w:val="24"/>
              </w:rPr>
              <w:t>Małżeństwo, rodzina, rodzicielstwo. Przemiany we współczesnej Polsce</w:t>
            </w:r>
            <w:r w:rsidR="00A468D9" w:rsidRPr="00543EAF">
              <w:rPr>
                <w:rFonts w:cstheme="minorHAnsi"/>
                <w:sz w:val="24"/>
                <w:szCs w:val="24"/>
              </w:rPr>
              <w:t>, Wydawnictwo KUL, Lublin 2016, s. 57-78</w:t>
            </w:r>
            <w:r w:rsidR="00B5667B" w:rsidRPr="00543EAF">
              <w:rPr>
                <w:rFonts w:cstheme="minorHAnsi"/>
                <w:sz w:val="24"/>
                <w:szCs w:val="24"/>
              </w:rPr>
              <w:t>;</w:t>
            </w:r>
          </w:p>
          <w:p w14:paraId="72BF7CAB" w14:textId="07E8D417" w:rsidR="007961FA" w:rsidRPr="00543EAF" w:rsidRDefault="00B5667B" w:rsidP="00D45905">
            <w:pPr>
              <w:spacing w:after="0" w:line="240" w:lineRule="auto"/>
              <w:rPr>
                <w:bCs/>
                <w:lang w:val="en-GB"/>
              </w:rPr>
            </w:pPr>
            <w:r w:rsidRPr="002E2476">
              <w:t>S. Fel, J. Kupny (red.),</w:t>
            </w:r>
            <w:r w:rsidRPr="00543EAF">
              <w:rPr>
                <w:i/>
                <w:iCs/>
              </w:rPr>
              <w:t xml:space="preserve"> </w:t>
            </w:r>
            <w:r w:rsidRPr="00543EAF">
              <w:rPr>
                <w:i/>
                <w:color w:val="000000"/>
              </w:rPr>
              <w:t>Kościół wobec współczesnych problemów życia gospodarczego. Społeczne dokumenty episkopatów.</w:t>
            </w:r>
            <w:r w:rsidRPr="00543EAF">
              <w:rPr>
                <w:iCs/>
                <w:color w:val="000000"/>
              </w:rPr>
              <w:t xml:space="preserve"> Lublin 2002.</w:t>
            </w:r>
          </w:p>
        </w:tc>
      </w:tr>
    </w:tbl>
    <w:p w14:paraId="53FD9018" w14:textId="0DB40844" w:rsidR="00B5667B" w:rsidRDefault="00B5667B">
      <w:pPr>
        <w:spacing w:after="0"/>
        <w:rPr>
          <w:b/>
          <w:lang w:val="en-GB"/>
        </w:rPr>
      </w:pPr>
    </w:p>
    <w:p w14:paraId="26B63680" w14:textId="77777777" w:rsidR="007961FA" w:rsidRDefault="007961FA">
      <w:pPr>
        <w:rPr>
          <w:lang w:val="en-GB"/>
        </w:rPr>
      </w:pPr>
    </w:p>
    <w:sectPr w:rsidR="007961FA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076D9" w14:textId="77777777" w:rsidR="0002756E" w:rsidRDefault="0002756E">
      <w:pPr>
        <w:spacing w:after="0" w:line="240" w:lineRule="auto"/>
      </w:pPr>
      <w:r>
        <w:separator/>
      </w:r>
    </w:p>
  </w:endnote>
  <w:endnote w:type="continuationSeparator" w:id="0">
    <w:p w14:paraId="7E27DB3F" w14:textId="77777777" w:rsidR="0002756E" w:rsidRDefault="00027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FFA58E" w14:textId="77777777" w:rsidR="0002756E" w:rsidRDefault="0002756E">
      <w:pPr>
        <w:spacing w:after="0" w:line="240" w:lineRule="auto"/>
      </w:pPr>
      <w:r>
        <w:separator/>
      </w:r>
    </w:p>
  </w:footnote>
  <w:footnote w:type="continuationSeparator" w:id="0">
    <w:p w14:paraId="403A6287" w14:textId="77777777" w:rsidR="0002756E" w:rsidRDefault="00027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68736" w14:textId="77777777" w:rsidR="007961FA" w:rsidRDefault="00457556">
    <w:pPr>
      <w:pStyle w:val="Nagwek"/>
      <w:jc w:val="right"/>
      <w:rPr>
        <w:i/>
      </w:rPr>
    </w:pPr>
    <w:r>
      <w:rPr>
        <w:i/>
      </w:rPr>
      <w:t>Załącznik nr 5 do dokumentacji programowej</w:t>
    </w:r>
  </w:p>
  <w:p w14:paraId="1BEDF677" w14:textId="77777777" w:rsidR="007961FA" w:rsidRDefault="007961F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85D60"/>
    <w:multiLevelType w:val="multilevel"/>
    <w:tmpl w:val="FC421996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87823D5"/>
    <w:multiLevelType w:val="multilevel"/>
    <w:tmpl w:val="97B8D89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C09713E"/>
    <w:multiLevelType w:val="multilevel"/>
    <w:tmpl w:val="2D6E445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E6437C"/>
    <w:multiLevelType w:val="hybridMultilevel"/>
    <w:tmpl w:val="59600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89EFE36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2D6EF4"/>
    <w:multiLevelType w:val="multilevel"/>
    <w:tmpl w:val="99920C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78A64369"/>
    <w:multiLevelType w:val="multilevel"/>
    <w:tmpl w:val="CAB29648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77057562">
    <w:abstractNumId w:val="0"/>
  </w:num>
  <w:num w:numId="2" w16cid:durableId="1414813109">
    <w:abstractNumId w:val="1"/>
  </w:num>
  <w:num w:numId="3" w16cid:durableId="895048752">
    <w:abstractNumId w:val="4"/>
  </w:num>
  <w:num w:numId="4" w16cid:durableId="887959199">
    <w:abstractNumId w:val="2"/>
  </w:num>
  <w:num w:numId="5" w16cid:durableId="598178995">
    <w:abstractNumId w:val="5"/>
  </w:num>
  <w:num w:numId="6" w16cid:durableId="489176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1FA"/>
    <w:rsid w:val="0002756E"/>
    <w:rsid w:val="0004464D"/>
    <w:rsid w:val="00053330"/>
    <w:rsid w:val="001A5F28"/>
    <w:rsid w:val="001B5455"/>
    <w:rsid w:val="002B0378"/>
    <w:rsid w:val="002F4948"/>
    <w:rsid w:val="003A64D2"/>
    <w:rsid w:val="003E58F2"/>
    <w:rsid w:val="00417E24"/>
    <w:rsid w:val="00457556"/>
    <w:rsid w:val="00512858"/>
    <w:rsid w:val="00543EAF"/>
    <w:rsid w:val="0054771B"/>
    <w:rsid w:val="00566CD9"/>
    <w:rsid w:val="00572A7B"/>
    <w:rsid w:val="00632A5F"/>
    <w:rsid w:val="0065598A"/>
    <w:rsid w:val="0071421A"/>
    <w:rsid w:val="007961FA"/>
    <w:rsid w:val="007E647E"/>
    <w:rsid w:val="00844106"/>
    <w:rsid w:val="008C2562"/>
    <w:rsid w:val="008D4AEA"/>
    <w:rsid w:val="009B2513"/>
    <w:rsid w:val="00A468D9"/>
    <w:rsid w:val="00AB70AD"/>
    <w:rsid w:val="00B5667B"/>
    <w:rsid w:val="00C10028"/>
    <w:rsid w:val="00C25783"/>
    <w:rsid w:val="00D45905"/>
    <w:rsid w:val="00E204C2"/>
    <w:rsid w:val="00E35CC5"/>
    <w:rsid w:val="00E86E76"/>
    <w:rsid w:val="00ED7B90"/>
    <w:rsid w:val="00F5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F2FB2"/>
  <w15:docId w15:val="{EC657C1C-A693-407F-BDB0-1E86A85B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839E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abulatory">
    <w:name w:val="tabulatory"/>
    <w:basedOn w:val="Domylnaczcionkaakapitu"/>
    <w:qFormat/>
    <w:rsid w:val="00D406F6"/>
  </w:style>
  <w:style w:type="character" w:customStyle="1" w:styleId="Hipercze1">
    <w:name w:val="Hiperłącze1"/>
    <w:basedOn w:val="Domylnaczcionkaakapitu"/>
    <w:uiPriority w:val="99"/>
    <w:unhideWhenUsed/>
    <w:rsid w:val="00D406F6"/>
    <w:rPr>
      <w:color w:val="0000FF"/>
      <w:u w:val="single"/>
    </w:rPr>
  </w:style>
  <w:style w:type="character" w:customStyle="1" w:styleId="access">
    <w:name w:val="access"/>
    <w:basedOn w:val="Domylnaczcionkaakapitu"/>
    <w:qFormat/>
    <w:rsid w:val="003C65DA"/>
  </w:style>
  <w:style w:type="character" w:customStyle="1" w:styleId="luchili">
    <w:name w:val="luc_hili"/>
    <w:basedOn w:val="Domylnaczcionkaakapitu"/>
    <w:qFormat/>
    <w:rsid w:val="001A5D37"/>
  </w:style>
  <w:style w:type="character" w:customStyle="1" w:styleId="NagwekZnak">
    <w:name w:val="Nagłówek Znak"/>
    <w:basedOn w:val="Domylnaczcionkaakapitu"/>
    <w:link w:val="Nagwek"/>
    <w:uiPriority w:val="99"/>
    <w:qFormat/>
    <w:rsid w:val="00B04272"/>
  </w:style>
  <w:style w:type="character" w:customStyle="1" w:styleId="StopkaZnak">
    <w:name w:val="Stopka Znak"/>
    <w:basedOn w:val="Domylnaczcionkaakapitu"/>
    <w:link w:val="Stopka"/>
    <w:uiPriority w:val="99"/>
    <w:qFormat/>
    <w:rsid w:val="00B0427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8839E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customStyle="1" w:styleId="caption1">
    <w:name w:val="caption1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western">
    <w:name w:val="western"/>
    <w:basedOn w:val="Normalny"/>
    <w:qFormat/>
    <w:rsid w:val="007D0038"/>
    <w:pPr>
      <w:spacing w:beforeAutospacing="1" w:after="119" w:line="102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D0038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qFormat/>
    <w:rsid w:val="00D27DDC"/>
    <w:pPr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qFormat/>
    <w:rsid w:val="007841B3"/>
    <w:rPr>
      <w:rFonts w:ascii="Arial" w:eastAsia="Calibri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427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04272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732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ny"/>
    <w:rsid w:val="0004464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04464D"/>
  </w:style>
  <w:style w:type="character" w:customStyle="1" w:styleId="eop">
    <w:name w:val="eop"/>
    <w:basedOn w:val="Domylnaczcionkaakapitu"/>
    <w:rsid w:val="00044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96FF0-73E9-4919-8207-2D6C3A5E5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4</Pages>
  <Words>1122</Words>
  <Characters>6733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Łukasiewicz</dc:creator>
  <dc:description/>
  <cp:lastModifiedBy>xy xyz</cp:lastModifiedBy>
  <cp:revision>32</cp:revision>
  <cp:lastPrinted>2019-01-23T11:10:00Z</cp:lastPrinted>
  <dcterms:created xsi:type="dcterms:W3CDTF">2024-03-04T22:50:00Z</dcterms:created>
  <dcterms:modified xsi:type="dcterms:W3CDTF">2024-03-05T09:40:00Z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