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 xml:space="preserve">KARTA PRZEDMIOTU 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Dane podstawowe</w:t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67"/>
        <w:gridCol w:w="4440"/>
      </w:tblGrid>
      <w:tr>
        <w:trPr>
          <w:trHeight w:val="1" w:hRule="atLeast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Nazwa przedmiotu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Podstawy medycyny sądowej</w:t>
            </w:r>
          </w:p>
        </w:tc>
      </w:tr>
      <w:tr>
        <w:trPr>
          <w:trHeight w:val="1" w:hRule="atLeast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Nazwa przedmiotu w języku angielskim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/>
                <w:i/>
                <w:lang w:val="en-US"/>
              </w:rPr>
              <w:t>Fundamentals of forensic medicine</w:t>
            </w:r>
          </w:p>
        </w:tc>
      </w:tr>
      <w:tr>
        <w:trPr>
          <w:trHeight w:val="1" w:hRule="atLeast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Kierunek studiów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Bezpieczeństwo narodowe</w:t>
            </w:r>
          </w:p>
        </w:tc>
      </w:tr>
      <w:tr>
        <w:trPr>
          <w:trHeight w:val="1" w:hRule="atLeast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Poziom studiów (I, II, jednolite magisterskie)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II stopień</w:t>
            </w:r>
          </w:p>
        </w:tc>
      </w:tr>
      <w:tr>
        <w:trPr>
          <w:trHeight w:val="1" w:hRule="atLeast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Forma studiów (stacjonarne, niestacjonarne)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Studia stacjonarne</w:t>
            </w:r>
          </w:p>
        </w:tc>
      </w:tr>
      <w:tr>
        <w:trPr>
          <w:trHeight w:val="1" w:hRule="atLeast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Dyscyplina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Nauki o polityce i administracji</w:t>
            </w:r>
          </w:p>
        </w:tc>
      </w:tr>
      <w:tr>
        <w:trPr>
          <w:trHeight w:val="1" w:hRule="atLeast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Język wykładowy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J. polski </w:t>
            </w:r>
          </w:p>
        </w:tc>
      </w:tr>
    </w:tbl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7"/>
        <w:gridCol w:w="4430"/>
      </w:tblGrid>
      <w:tr>
        <w:trPr>
          <w:trHeight w:val="1" w:hRule="atLeast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Koordynator przedmiotu/osoba odpowiedzialna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dr Grzegorz Skrobotowicz</w:t>
            </w:r>
          </w:p>
        </w:tc>
      </w:tr>
    </w:tbl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7"/>
        <w:gridCol w:w="2211"/>
        <w:gridCol w:w="2218"/>
        <w:gridCol w:w="2211"/>
      </w:tblGrid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Forma zajęć </w:t>
            </w:r>
            <w:r>
              <w:rPr>
                <w:rFonts w:eastAsia="Calibri" w:cs="Calibri"/>
                <w:i/>
              </w:rPr>
              <w:t>(katalog zamknięty ze słownika)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semestr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Punkty ECTS</w:t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wykład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konwersatorium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III</w:t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ćwiczenia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laboratorium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warsztaty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seminarium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proseminarium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lektorat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praktyki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zajęcia terenowe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pracownia dyplomowa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translatorium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wizyta studyjna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91"/>
        <w:gridCol w:w="6716"/>
      </w:tblGrid>
      <w:tr>
        <w:trPr>
          <w:trHeight w:val="1" w:hRule="atLeast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Wymagania wstępne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9" w:hanging="360"/>
              <w:contextualSpacing/>
              <w:jc w:val="both"/>
              <w:rPr/>
            </w:pPr>
            <w:r>
              <w:rPr/>
              <w:t xml:space="preserve">Przedmiot przeznaczony dla studentów II roku studiów II stopnia. 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9" w:hanging="360"/>
              <w:contextualSpacing/>
              <w:jc w:val="both"/>
              <w:rPr/>
            </w:pPr>
            <w:r>
              <w:rPr/>
              <w:t xml:space="preserve">Zdanie egzaminu z prawa humanitarnego. </w:t>
            </w:r>
          </w:p>
        </w:tc>
      </w:tr>
    </w:tbl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2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 xml:space="preserve">Cele kształcenia dla przedmiotu </w:t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908"/>
      </w:tblGrid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/>
              <w:t>Wyrobienie umiejętności w zakresie: posługiwania się pojęciami z zakresu medycyny sądowej (szczególnie patomorfologii) i praktycznego wykorzystania wiedzy dotyczącej połączenia okoliczności śmierci z jej przyczynami.</w:t>
            </w:r>
          </w:p>
        </w:tc>
      </w:tr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/>
              <w:t>Wyrobienie umiejętności prawidłowego używania pojęć charakterystycznych dla medycyny sądowej, a wykorzystywanych w ramach prowadzonych działań z zakresu bezpieczeństwa narodowego.</w:t>
            </w:r>
          </w:p>
        </w:tc>
      </w:tr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Przedstawienie problematyki medycyny sądowej w różnych płaszczyznach i aspektach na tle legislacyjnych rozwiązań.</w:t>
            </w:r>
          </w:p>
        </w:tc>
      </w:tr>
    </w:tbl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Efekty uczenia się dla przedmiotu wraz z odniesieniem do efektów kierunkowych</w:t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7"/>
        <w:gridCol w:w="5702"/>
        <w:gridCol w:w="2119"/>
      </w:tblGrid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Symbol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Opis efektu przedmiotowego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Odniesienie do efektu kierunkowego</w:t>
            </w:r>
          </w:p>
        </w:tc>
      </w:tr>
      <w:tr>
        <w:trPr>
          <w:trHeight w:val="1" w:hRule="atLeast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WIEDZA: absolwent zna i rozumie</w:t>
            </w:r>
          </w:p>
        </w:tc>
      </w:tr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K_W01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/>
              </w:rPr>
              <w:t xml:space="preserve">Ma podstawową wiedzę o miejscu i znaczeniu medycyny sądowej w systemie nauk w tym relacje do nauk prawnych </w:t>
              <w:br/>
              <w:t>i pokrewnych.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Times New Roman" w:cs="Times New Roman"/>
              </w:rPr>
              <w:t>P7S_WG1</w:t>
            </w:r>
          </w:p>
        </w:tc>
      </w:tr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K_W02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/>
              </w:rPr>
              <w:t>Zna i rozumie terminologię prawniczą z zakresu medycyny sądowej.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P7S_WK1</w:t>
            </w:r>
          </w:p>
        </w:tc>
      </w:tr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K_W03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/>
                <w:color w:val="000000"/>
              </w:rPr>
              <w:t xml:space="preserve">Ma  wiedzę  o różnych rodzajach znamion śmierci i przyczynach ich występowania oraz następstwach do jakich prowadzą. Zna i rozumie znaczenie sekcji zwłok i stwierdzenie przyczyn zgonu dla prawidłowości przebiegu procesu sądowego.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P7S_WG2</w:t>
            </w:r>
          </w:p>
        </w:tc>
      </w:tr>
      <w:tr>
        <w:trPr>
          <w:trHeight w:val="1" w:hRule="atLeast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UMIEJĘTNOŚCI: </w:t>
            </w:r>
            <w:r>
              <w:rPr/>
              <w:t>absolwent potrafi</w:t>
            </w:r>
          </w:p>
        </w:tc>
      </w:tr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K_U01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Potrafi wykorzystać podstawową wiedzę teoretyczną z zakresu różnych dziedzin prawa w celu analizowania  i interpretowania  konkretnych procesów  oraz zjawisk  prawnych, gospodarczych, społecznych oraz ekonomicznych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P7S_UW1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P7S_UW3</w:t>
            </w:r>
          </w:p>
        </w:tc>
      </w:tr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K_U02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/>
              </w:rPr>
              <w:t>Posiada umiejętności badawcze obejmujące formułowanie i analizę problemów prawnych w medycynie, w tym zagadnień związanych z rolą biegłego w sprawach karnych, umie dobrać metody i narzędzia badawcze oraz zaprezentować wyniki pozwalające na rozwiązanie problemów prawnych  (interpretacja, wykładnia przepisów, orzeczeń, literatury)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P7S_UW1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P7S_UW3</w:t>
            </w:r>
          </w:p>
        </w:tc>
      </w:tr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K_U03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Posiada umiejętność przygotowywania typowych prac pisemnych w języku polskim dotyczących szczegółowych zagadnień z różnych dziedzin prawa, w tym prawa karnego.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P7S_UW3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P7S_UK1</w:t>
            </w:r>
          </w:p>
        </w:tc>
      </w:tr>
      <w:tr>
        <w:trPr>
          <w:trHeight w:val="1" w:hRule="atLeast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KOMPETENCJE SPOŁECZNE: </w:t>
            </w:r>
            <w:r>
              <w:rPr/>
              <w:t>absolwent jest gotów do</w:t>
            </w:r>
          </w:p>
        </w:tc>
      </w:tr>
      <w:tr>
        <w:trPr>
          <w:trHeight w:val="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K_K01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/>
                <w:color w:val="000000"/>
              </w:rPr>
              <w:t>Umie uczestniczyć w przygotowaniu projektów społecznych, obywatelskich uwzględniając aspekty prawne. Potrafi przewidzieć  wielokierunkowe skutki społeczne swojej  działalności.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w:t>P7S_KR1</w:t>
            </w:r>
          </w:p>
        </w:tc>
      </w:tr>
    </w:tbl>
    <w:p>
      <w:pPr>
        <w:pStyle w:val="Normal"/>
        <w:spacing w:lineRule="auto" w:line="276" w:before="0" w:after="200"/>
        <w:ind w:left="1080" w:hanging="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Opis przedmiotu/ treści programowe</w:t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908"/>
      </w:tblGrid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Zakres i znaczenie medycyny sądowej oraz jej miejsce w nauce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Podstawy antropologii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Daktyloskopia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Rany – rodzaje i sposoby ich powstawania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Wiek i zjawisko starzenia się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Pojęcie śmierci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 xml:space="preserve">Tanatologia sądowo-lekarska 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Znamiona śmierci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Zjawisko śmierci a przeszczepianie narządów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Transplantologia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Samouszkodzenia i opiniowanie sądowo-lekarskie w sprawach przestępstw przeciwko zdrowiu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 xml:space="preserve">Wypadki i katastrofy lotnicze 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76" w:before="0" w:after="0"/>
              <w:contextualSpacing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Śmierć gwałtowna a śmierć naturalna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Metody realizacji i weryfikacji efektów uczenia się</w:t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4"/>
        <w:gridCol w:w="2609"/>
        <w:gridCol w:w="2715"/>
        <w:gridCol w:w="2499"/>
      </w:tblGrid>
      <w:tr>
        <w:trPr>
          <w:trHeight w:val="1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Symbol efektu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i/>
                <w:sz w:val="18"/>
              </w:rPr>
              <w:t>(lista wyboru)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i/>
                <w:sz w:val="18"/>
              </w:rPr>
              <w:t>(lista wyboru)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i/>
                <w:sz w:val="18"/>
              </w:rPr>
              <w:t>(lista wyboru)</w:t>
            </w:r>
          </w:p>
        </w:tc>
      </w:tr>
      <w:tr>
        <w:trPr>
          <w:trHeight w:val="1" w:hRule="atLeast"/>
        </w:trPr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>
        <w:trPr>
          <w:trHeight w:val="1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K_W01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K_W02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K_W03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Wykład konwencjonalny / Analiza tekstu / praca z tekstem / prezentacja multimedialna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Test / zaliczenie pisemne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Uzupełnione 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ocenione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kolokwium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Sprawdzian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  <w:t>pisemny</w:t>
            </w:r>
          </w:p>
        </w:tc>
      </w:tr>
      <w:tr>
        <w:trPr>
          <w:trHeight w:val="1" w:hRule="atLeast"/>
        </w:trPr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>
        <w:trPr>
          <w:trHeight w:val="1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K_U01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K_U02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K_U03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Wykład konwencjonalny / praca z tekstem / prezentacja multimedialna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Test / zaliczenie pisemne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Uzupełnione 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ocenione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kolokwium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Sprawdzian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Calibri" w:cstheme="minorHAnsi"/>
              </w:rPr>
              <w:t>pisemny</w:t>
            </w:r>
          </w:p>
        </w:tc>
      </w:tr>
      <w:tr>
        <w:trPr>
          <w:trHeight w:val="1" w:hRule="atLeast"/>
        </w:trPr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>
        <w:trPr>
          <w:trHeight w:val="1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/>
              <w:t>K_K01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Wykład konwencjonalny / Analiza tekstu / praca z tekstem / prezentacja multimedialna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Test / zaliczenie pisemne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Uzupełnione 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ocenione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kolokwium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Sprawdzian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Calibri" w:cstheme="minorHAnsi"/>
              </w:rPr>
              <w:t>pisemny</w:t>
            </w:r>
          </w:p>
        </w:tc>
      </w:tr>
    </w:tbl>
    <w:p>
      <w:pPr>
        <w:pStyle w:val="Normal"/>
        <w:spacing w:lineRule="auto" w:line="276" w:before="0" w:after="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numPr>
          <w:ilvl w:val="0"/>
          <w:numId w:val="6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Kryteria oceny, wagi.</w:t>
      </w:r>
    </w:p>
    <w:p>
      <w:pPr>
        <w:pStyle w:val="Normal"/>
        <w:spacing w:lineRule="auto" w:line="276" w:before="0" w:after="200"/>
        <w:jc w:val="both"/>
        <w:rPr>
          <w:b/>
          <w:bCs/>
        </w:rPr>
      </w:pPr>
      <w:r>
        <w:rPr>
          <w:b/>
          <w:bCs/>
        </w:rPr>
        <w:t xml:space="preserve">Wykład obligatoryjny – studia stacjonarne II stopnia. </w:t>
      </w:r>
    </w:p>
    <w:p>
      <w:pPr>
        <w:pStyle w:val="Normal"/>
        <w:spacing w:lineRule="auto" w:line="276" w:before="0" w:after="200"/>
        <w:jc w:val="both"/>
        <w:rPr/>
      </w:pPr>
      <w:r>
        <w:rPr/>
        <w:t xml:space="preserve">Wykład oraz kończące go zaliczenie przeprowadzane jest w semestrze zimowym. </w:t>
      </w:r>
    </w:p>
    <w:p>
      <w:pPr>
        <w:pStyle w:val="Normal"/>
        <w:spacing w:lineRule="auto" w:line="276" w:before="0" w:after="200"/>
        <w:jc w:val="both"/>
        <w:rPr/>
      </w:pPr>
      <w:r>
        <w:rPr/>
        <w:t xml:space="preserve">Poniżej podane są kryteria oceny i sposoby weryfikacji efektów kształcenia. </w:t>
      </w:r>
    </w:p>
    <w:p>
      <w:pPr>
        <w:pStyle w:val="Normal"/>
        <w:spacing w:lineRule="auto" w:line="276" w:before="0" w:after="200"/>
        <w:jc w:val="both"/>
        <w:rPr/>
      </w:pPr>
      <w:r>
        <w:rPr/>
        <w:t xml:space="preserve">Forma zaliczenia - test jednokrotnego wyboru. </w:t>
      </w:r>
    </w:p>
    <w:p>
      <w:pPr>
        <w:pStyle w:val="Normal"/>
        <w:spacing w:lineRule="auto" w:line="276" w:before="0" w:after="200"/>
        <w:jc w:val="both"/>
        <w:rPr/>
      </w:pPr>
      <w:r>
        <w:rPr/>
        <w:t xml:space="preserve">Ocena z zaliczenia – numeryczna w skali 2-5: 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/>
        <w:t xml:space="preserve">2.0 za udzielenie prawidłowych odpowiedzi na mniej niż 50% pytań egzaminacyjnych; 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/>
        <w:t xml:space="preserve">3.0 za udzielenie prawidłowych odpowiedzi na 50% - 59% pytań testowych; 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/>
        <w:t xml:space="preserve">3.5 za udzielenie prawidłowych odpowiedzi na 60% - 69% pytań testowych; 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/>
        <w:t xml:space="preserve">4.0 za udzielenie prawidłowych odpowiedzi na 70% -79% pytań testowych; 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/>
        <w:t xml:space="preserve">4.5 za udzielenie prawidłowych odpowiedzi na 80% - 89% pytań testowych; 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>
          <w:rFonts w:ascii="Calibri" w:hAnsi="Calibri" w:eastAsia="Calibri" w:cs="Calibri"/>
          <w:b/>
        </w:rPr>
      </w:pPr>
      <w:r>
        <w:rPr/>
        <w:t xml:space="preserve">5.0 za udzielenie prawidłowych odpowiedzi na 90% do 100% zadań egzaminacyjnych. </w:t>
      </w:r>
      <w:r>
        <w:rPr>
          <w:rFonts w:eastAsia="Calibri" w:cs="Calibri"/>
          <w:b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Obciążenie pracą studenta</w:t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69"/>
        <w:gridCol w:w="4438"/>
      </w:tblGrid>
      <w:tr>
        <w:trPr>
          <w:trHeight w:val="1" w:hRule="atLeast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Forma aktywności studenta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</w:tr>
      <w:tr>
        <w:trPr>
          <w:trHeight w:val="1" w:hRule="atLeast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15</w:t>
            </w:r>
          </w:p>
        </w:tc>
      </w:tr>
      <w:tr>
        <w:trPr>
          <w:trHeight w:val="1" w:hRule="atLeast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</w:t>
            </w:r>
          </w:p>
        </w:tc>
      </w:tr>
    </w:tbl>
    <w:p>
      <w:pPr>
        <w:pStyle w:val="Normal"/>
        <w:spacing w:lineRule="auto" w:line="276" w:before="0" w:after="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numPr>
          <w:ilvl w:val="0"/>
          <w:numId w:val="8"/>
        </w:numPr>
        <w:spacing w:lineRule="auto" w:line="276" w:before="0" w:after="200"/>
        <w:ind w:left="1080" w:hanging="72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Literatura</w:t>
      </w:r>
    </w:p>
    <w:tbl>
      <w:tblPr>
        <w:tblW w:w="8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908"/>
      </w:tblGrid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Literatura podstawowa</w:t>
            </w:r>
          </w:p>
        </w:tc>
      </w:tr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V.J. DiMaio, D. DiMaio,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Medycyna sądowa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Wrocław 2020.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E. Gruza, P. Krajewski, I. Sołtyszewski,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Medycyna sądowa dla prawników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Wolters Kluwer Polska 2023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T. Marcinkowski,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Medycyna sądowa dla prawników. T. 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Poznań 2000.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T. Marcinkowski,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Medycyna sądowa dla prawników. T. II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Poznań 2000.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A. Jakliński, Z. Marek,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Medycyna sądowa dla prawników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Kraków 1999.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S. Raszeja, W. Nasiłowski, J. Markiewicz,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Medycyna sądowa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Warszawa 1990.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A. Jakliński, J. S. Kobiela, K. Jaegermann, Z. Marek, Z. Tomaszewska, B. Turowska,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Medycyna sądowa dla studentów medycyny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Warszawa 1979.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K. Daszkiewicz,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Przestępstwa przeciwko zdrowiu i życiu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Warszawa 2000.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ind w:left="316" w:hanging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Z. Marek,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Wybrane problemy opiniowania sądowo-lekarskiego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Kraków 2004.</w:t>
            </w:r>
          </w:p>
          <w:p>
            <w:pPr>
              <w:pStyle w:val="List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880" w:leader="none"/>
              </w:tabs>
              <w:spacing w:before="0" w:after="120"/>
              <w:ind w:left="316" w:hanging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J. Przybysz,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Psychiatria sądowa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 Toruń 2001.</w:t>
            </w:r>
          </w:p>
        </w:tc>
      </w:tr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Literatura uzupełniająca</w:t>
            </w:r>
          </w:p>
        </w:tc>
      </w:tr>
      <w:tr>
        <w:trPr>
          <w:trHeight w:val="1" w:hRule="atLeas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J. Wójcikiewicz (red.), </w:t>
            </w:r>
            <w:r>
              <w:rPr>
                <w:i/>
              </w:rPr>
              <w:t xml:space="preserve">Ekspertyza sądowa. Zagadnienia wybrane, </w:t>
            </w:r>
            <w:r>
              <w:rPr/>
              <w:t>Warszawa 2007.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Z. Lew-Starowicz, </w:t>
            </w:r>
            <w:r>
              <w:rPr>
                <w:i/>
              </w:rPr>
              <w:t>Zarys seksuologii sądowej</w:t>
            </w:r>
            <w:r>
              <w:rPr/>
              <w:t>, Warszawa 2000.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K. Marzec-Holka, </w:t>
            </w:r>
            <w:r>
              <w:rPr>
                <w:i/>
              </w:rPr>
              <w:t>Dzieciobójstwo</w:t>
            </w:r>
            <w:r>
              <w:rPr/>
              <w:t>, Bydgoszcz 2004.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Z. Marek, M. Kłys, </w:t>
            </w:r>
            <w:r>
              <w:rPr>
                <w:i/>
              </w:rPr>
              <w:t>Opiniowanie sądowo-lekarskie i toksykologiczne</w:t>
            </w:r>
            <w:r>
              <w:rPr/>
              <w:t>, Zakamycze 1998.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W. Stojanowska, D. Miścicka- Śliwka, </w:t>
            </w:r>
            <w:r>
              <w:rPr>
                <w:i/>
              </w:rPr>
              <w:t>Dowód z badań DNA a inne dowody w procesach ustalenie ojcostwa,</w:t>
            </w:r>
            <w:r>
              <w:rPr/>
              <w:t xml:space="preserve"> Warszawa 2000.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K.J. Pawelec, </w:t>
            </w:r>
            <w:r>
              <w:rPr>
                <w:i/>
              </w:rPr>
              <w:t>Wypadek drogowy</w:t>
            </w:r>
            <w:r>
              <w:rPr/>
              <w:t>, LexisNexis 2000.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B. Popielski, </w:t>
            </w:r>
            <w:r>
              <w:rPr>
                <w:i/>
              </w:rPr>
              <w:t>Medycyna i prawo</w:t>
            </w:r>
            <w:r>
              <w:rPr/>
              <w:t>, Warszawa 1968.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J. Walczyński, </w:t>
            </w:r>
            <w:r>
              <w:rPr>
                <w:i/>
              </w:rPr>
              <w:t>Ocena sądowo-lekarska uszkodzenia ciała w procesie karnym</w:t>
            </w:r>
            <w:r>
              <w:rPr/>
              <w:t>, Warszawa 1967.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ind w:left="316" w:hanging="360"/>
              <w:jc w:val="both"/>
              <w:rPr/>
            </w:pPr>
            <w:r>
              <w:rPr/>
              <w:t xml:space="preserve">J. Walczyński, </w:t>
            </w:r>
            <w:r>
              <w:rPr>
                <w:i/>
              </w:rPr>
              <w:t>Przewodnik do ćwiczeń z medycyny sądowej</w:t>
            </w:r>
            <w:r>
              <w:rPr/>
              <w:t>, Warszawa 1964.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76" w:before="0" w:after="0"/>
              <w:ind w:left="316" w:hanging="360"/>
              <w:contextualSpacing/>
              <w:jc w:val="both"/>
              <w:rPr>
                <w:rFonts w:ascii="Calibri" w:hAnsi="Calibri" w:eastAsia="Calibri" w:cs="Calibri"/>
              </w:rPr>
            </w:pPr>
            <w:r>
              <w:rPr/>
              <w:t xml:space="preserve">A. Jakliński, </w:t>
            </w:r>
            <w:r>
              <w:rPr>
                <w:i/>
              </w:rPr>
              <w:t>Zarys sądowo-lekarskiej toksykologii alkoholu etylowego</w:t>
            </w:r>
            <w:r>
              <w:rPr/>
              <w:t>, Warszawa 1978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sectPr>
      <w:footerReference w:type="default" r:id="rId2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5907916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  <w:docVars>
    <w:docVar w:name="__Grammarly_42____i" w:val="H4sIAAAAAAAEAKtWckksSQxILCpxzi/NK1GyMqwFAAEhoTITAAAA"/>
    <w:docVar w:name="__Grammarly_42___1" w:val="H4sIAAAAAAAEAKtWcslP9kxRslIyNDY2N7cwNDEwMTQ3tDA0NDNR0lEKTi0uzszPAykwrAUAsaYumC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34458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60"/>
      <w:outlineLvl w:val="0"/>
    </w:pPr>
    <w:rPr>
      <w:rFonts w:ascii="Times New Roman" w:hAnsi="Times New Roman" w:eastAsia="Arial" w:cs="Arial"/>
      <w:b/>
      <w:bCs/>
      <w:color w:val="000000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a54d5"/>
    <w:rPr/>
  </w:style>
  <w:style w:type="character" w:styleId="StopkaZnak" w:customStyle="1">
    <w:name w:val="Stopka Znak"/>
    <w:basedOn w:val="DefaultParagraphFont"/>
    <w:uiPriority w:val="99"/>
    <w:qFormat/>
    <w:rsid w:val="00da54d5"/>
    <w:rPr/>
  </w:style>
  <w:style w:type="character" w:styleId="Strong">
    <w:name w:val="Strong"/>
    <w:basedOn w:val="DefaultParagraphFont"/>
    <w:uiPriority w:val="22"/>
    <w:qFormat/>
    <w:rsid w:val="00074039"/>
    <w:rPr>
      <w:b/>
      <w:bCs/>
    </w:rPr>
  </w:style>
  <w:style w:type="character" w:styleId="Wyrnienie">
    <w:name w:val="Emphasis"/>
    <w:basedOn w:val="DefaultParagraphFont"/>
    <w:uiPriority w:val="20"/>
    <w:qFormat/>
    <w:rsid w:val="00074039"/>
    <w:rPr>
      <w:i/>
      <w:iCs/>
    </w:rPr>
  </w:style>
  <w:style w:type="character" w:styleId="Czeinternetowe">
    <w:name w:val="Hyperlink"/>
    <w:basedOn w:val="DefaultParagraphFont"/>
    <w:uiPriority w:val="99"/>
    <w:semiHidden/>
    <w:unhideWhenUsed/>
    <w:rsid w:val="009f34bd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d03d92"/>
    <w:rPr/>
  </w:style>
  <w:style w:type="character" w:styleId="Nagwek1Znak" w:customStyle="1">
    <w:name w:val="Nagłówek 1 Znak"/>
    <w:basedOn w:val="DefaultParagraphFont"/>
    <w:qFormat/>
    <w:rsid w:val="00234458"/>
    <w:rPr>
      <w:rFonts w:ascii="Times New Roman" w:hAnsi="Times New Roman" w:eastAsia="Arial" w:cs="Arial"/>
      <w:b/>
      <w:bCs/>
      <w:color w:val="000000"/>
      <w:sz w:val="24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d03d92"/>
    <w:pPr>
      <w:spacing w:before="0" w:after="120"/>
    </w:pPr>
    <w:rPr/>
  </w:style>
  <w:style w:type="paragraph" w:styleId="Lista">
    <w:name w:val="List"/>
    <w:basedOn w:val="Tretekstu"/>
    <w:rsid w:val="00d03d92"/>
    <w:pPr>
      <w:widowControl w:val="false"/>
      <w:suppressAutoHyphens w:val="true"/>
      <w:spacing w:lineRule="auto" w:line="240"/>
    </w:pPr>
    <w:rPr>
      <w:rFonts w:ascii="Times New Roman" w:hAnsi="Times New Roman" w:eastAsia="Lucida Sans Unicode" w:cs="Tahoma"/>
      <w:kern w:val="2"/>
      <w:sz w:val="24"/>
      <w:szCs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45f2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54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54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LibreOffice/7.5.6.2$Windows_X86_64 LibreOffice_project/f654817fb68d6d4600d7d2f6b647e47729f55f15</Application>
  <AppVersion>15.0000</AppVersion>
  <Pages>4</Pages>
  <Words>910</Words>
  <Characters>5941</Characters>
  <CharactersWithSpaces>6667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2024-12-04T19:32:00Z</dcterms:created>
  <dc:creator>Grzegorz</dc:creator>
  <dc:description/>
  <dc:language>pl-PL</dc:language>
  <cp:lastModifiedBy/>
  <dcterms:modified xsi:type="dcterms:W3CDTF">2024-12-10T14:11:32Z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