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b/>
        </w:rPr>
      </w:pPr>
      <w:r>
        <w:rPr>
          <w:b/>
        </w:rPr>
        <w:t xml:space="preserve">KARTA PRZEDMIOTU </w:t>
      </w:r>
    </w:p>
    <w:p>
      <w:pPr>
        <w:pStyle w:val="Normal"/>
        <w:rPr>
          <w:b/>
        </w:rPr>
      </w:pPr>
      <w:r>
        <w:rPr>
          <w:b/>
        </w:rPr>
      </w:r>
    </w:p>
    <w:p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Dane podstawowe</w:t>
      </w:r>
    </w:p>
    <w:tbl>
      <w:tblPr>
        <w:tblStyle w:val="Tabela-Siatka"/>
        <w:tblW w:w="921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605"/>
        <w:gridCol w:w="4605"/>
      </w:tblGrid>
      <w:tr>
        <w:trPr/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Nazwa przedmiotu</w:t>
            </w:r>
          </w:p>
        </w:tc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Transgraniczne wyzwania bezpieczeństwa</w:t>
            </w:r>
          </w:p>
        </w:tc>
      </w:tr>
      <w:tr>
        <w:trPr/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Nazwa przedmiotu w języku angielskim</w:t>
            </w:r>
          </w:p>
        </w:tc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/>
              <w:tabs>
                <w:tab w:val="clear" w:pos="708"/>
                <w:tab w:val="left" w:pos="916" w:leader="none"/>
                <w:tab w:val="left" w:pos="1832" w:leader="none"/>
                <w:tab w:val="left" w:pos="2748" w:leader="none"/>
                <w:tab w:val="left" w:pos="3664" w:leader="none"/>
                <w:tab w:val="left" w:pos="4580" w:leader="none"/>
                <w:tab w:val="left" w:pos="5496" w:leader="none"/>
                <w:tab w:val="left" w:pos="6412" w:leader="none"/>
                <w:tab w:val="left" w:pos="7328" w:leader="none"/>
                <w:tab w:val="left" w:pos="8244" w:leader="none"/>
                <w:tab w:val="left" w:pos="9160" w:leader="none"/>
                <w:tab w:val="left" w:pos="10076" w:leader="none"/>
                <w:tab w:val="left" w:pos="10992" w:leader="none"/>
                <w:tab w:val="left" w:pos="11908" w:leader="none"/>
                <w:tab w:val="left" w:pos="12824" w:leader="none"/>
                <w:tab w:val="left" w:pos="13740" w:leader="none"/>
                <w:tab w:val="left" w:pos="14656" w:leader="none"/>
              </w:tabs>
              <w:spacing w:lineRule="auto" w:line="240" w:before="0" w:after="0"/>
              <w:jc w:val="left"/>
              <w:rPr>
                <w:rFonts w:eastAsia="Times New Roman" w:cs="Calibri" w:cstheme="minorHAnsi"/>
                <w:sz w:val="24"/>
                <w:szCs w:val="24"/>
                <w:lang w:eastAsia="pl-PL"/>
              </w:rPr>
            </w:pPr>
            <w:r>
              <w:rPr>
                <w:rFonts w:eastAsia="Times New Roman" w:cs="Calibri" w:cstheme="minorHAnsi"/>
                <w:kern w:val="0"/>
                <w:sz w:val="24"/>
                <w:szCs w:val="24"/>
                <w:lang w:val="pl-PL" w:eastAsia="pl-PL" w:bidi="ar-SA"/>
              </w:rPr>
            </w:r>
          </w:p>
          <w:p>
            <w:pPr>
              <w:pStyle w:val="HTMLPreformatted"/>
              <w:widowControl/>
              <w:spacing w:before="0" w:after="0"/>
              <w:jc w:val="left"/>
              <w:rPr>
                <w:rFonts w:ascii="Calibri" w:hAnsi="Calibri" w:cs="Calibri" w:asciiTheme="minorHAnsi" w:cstheme="minorHAnsi" w:hAnsiTheme="minorHAnsi"/>
                <w:sz w:val="24"/>
                <w:szCs w:val="24"/>
              </w:rPr>
            </w:pPr>
            <w:r>
              <w:rPr>
                <w:rStyle w:val="Y2iqfc"/>
                <w:rFonts w:cs="Calibri" w:ascii="Calibri" w:hAnsi="Calibri" w:asciiTheme="minorHAnsi" w:cstheme="minorHAnsi" w:hAnsiTheme="minorHAnsi"/>
                <w:kern w:val="0"/>
                <w:sz w:val="24"/>
                <w:szCs w:val="24"/>
                <w:lang w:val="en-US" w:bidi="ar-SA"/>
              </w:rPr>
              <w:t>Cross-border security challenges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cs="Calibri" w:cstheme="minorHAnsi"/>
                <w:bCs/>
              </w:rPr>
            </w:pPr>
            <w:r>
              <w:rPr>
                <w:rFonts w:eastAsia="Calibri" w:cs="Calibri" w:cstheme="minorHAnsi"/>
                <w:bCs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 xml:space="preserve">Kierunek studiów </w:t>
            </w:r>
          </w:p>
        </w:tc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Bezpieczeństwo narodowe</w:t>
            </w:r>
          </w:p>
        </w:tc>
      </w:tr>
      <w:tr>
        <w:trPr/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Poziom studiów (I, II, jednolite magisterskie)</w:t>
            </w:r>
          </w:p>
        </w:tc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II stopień, II rok, semestr III</w:t>
            </w:r>
          </w:p>
        </w:tc>
      </w:tr>
      <w:tr>
        <w:trPr/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Forma studiów (stacjonarne, niestacjonarne)</w:t>
            </w:r>
          </w:p>
        </w:tc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stacjonarne</w:t>
            </w:r>
          </w:p>
        </w:tc>
      </w:tr>
      <w:tr>
        <w:trPr/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Dyscyplina</w:t>
            </w:r>
          </w:p>
        </w:tc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Nauki o polityce i administracji, nauki o bezpieczeństwie</w:t>
            </w:r>
          </w:p>
        </w:tc>
      </w:tr>
      <w:tr>
        <w:trPr/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Język wykładowy</w:t>
            </w:r>
          </w:p>
        </w:tc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polski</w:t>
            </w:r>
          </w:p>
        </w:tc>
      </w:tr>
    </w:tbl>
    <w:p>
      <w:pPr>
        <w:pStyle w:val="Normal"/>
        <w:spacing w:before="0" w:after="0"/>
        <w:rPr/>
      </w:pPr>
      <w:r>
        <w:rPr/>
      </w:r>
    </w:p>
    <w:tbl>
      <w:tblPr>
        <w:tblStyle w:val="Tabela-Siatka"/>
        <w:tblW w:w="921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605"/>
        <w:gridCol w:w="4605"/>
      </w:tblGrid>
      <w:tr>
        <w:trPr/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Koordynator przedmiotu/osoba odpowiedzialna</w:t>
            </w:r>
          </w:p>
        </w:tc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Alicja Zyguła</w:t>
            </w:r>
          </w:p>
        </w:tc>
      </w:tr>
    </w:tbl>
    <w:p>
      <w:pPr>
        <w:pStyle w:val="Normal"/>
        <w:spacing w:before="0" w:after="0"/>
        <w:rPr/>
      </w:pPr>
      <w:r>
        <w:rPr/>
      </w:r>
    </w:p>
    <w:tbl>
      <w:tblPr>
        <w:tblStyle w:val="Tabela-Siatka"/>
        <w:tblW w:w="921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302"/>
        <w:gridCol w:w="2304"/>
        <w:gridCol w:w="2303"/>
        <w:gridCol w:w="2301"/>
      </w:tblGrid>
      <w:tr>
        <w:trPr/>
        <w:tc>
          <w:tcPr>
            <w:tcW w:w="230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 xml:space="preserve">Forma zajęć </w:t>
            </w:r>
            <w:r>
              <w:rPr>
                <w:rFonts w:eastAsia="Calibri" w:cs=""/>
                <w:i/>
                <w:kern w:val="0"/>
                <w:sz w:val="22"/>
                <w:szCs w:val="22"/>
                <w:lang w:val="pl-PL" w:eastAsia="en-US" w:bidi="ar-SA"/>
              </w:rPr>
              <w:t>(katalog zamknięty ze słownika)</w:t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Liczba godzin</w:t>
            </w:r>
          </w:p>
        </w:tc>
        <w:tc>
          <w:tcPr>
            <w:tcW w:w="2303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semestr</w:t>
            </w:r>
          </w:p>
        </w:tc>
        <w:tc>
          <w:tcPr>
            <w:tcW w:w="2301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Punkty ECTS</w:t>
            </w:r>
          </w:p>
        </w:tc>
      </w:tr>
      <w:tr>
        <w:trPr/>
        <w:tc>
          <w:tcPr>
            <w:tcW w:w="230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wykład</w:t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3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1" w:type="dxa"/>
            <w:vMerge w:val="restart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3</w:t>
            </w:r>
          </w:p>
        </w:tc>
      </w:tr>
      <w:tr>
        <w:trPr/>
        <w:tc>
          <w:tcPr>
            <w:tcW w:w="230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konwersatorium</w:t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15</w:t>
            </w:r>
          </w:p>
        </w:tc>
        <w:tc>
          <w:tcPr>
            <w:tcW w:w="2303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III</w:t>
            </w:r>
          </w:p>
        </w:tc>
        <w:tc>
          <w:tcPr>
            <w:tcW w:w="2301" w:type="dxa"/>
            <w:vMerge w:val="continue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30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ćwiczenia</w:t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3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1" w:type="dxa"/>
            <w:vMerge w:val="continue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30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laboratorium</w:t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3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1" w:type="dxa"/>
            <w:vMerge w:val="continue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30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warsztaty</w:t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3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1" w:type="dxa"/>
            <w:vMerge w:val="continue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30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seminarium</w:t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3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1" w:type="dxa"/>
            <w:vMerge w:val="continue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30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proseminarium</w:t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3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1" w:type="dxa"/>
            <w:vMerge w:val="continue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30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lektorat</w:t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3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1" w:type="dxa"/>
            <w:vMerge w:val="continue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30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praktyki</w:t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3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1" w:type="dxa"/>
            <w:vMerge w:val="continue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30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zajęcia terenowe</w:t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3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1" w:type="dxa"/>
            <w:vMerge w:val="continue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30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pracownia dyplomowa</w:t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3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1" w:type="dxa"/>
            <w:vMerge w:val="continue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30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translatorium</w:t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3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1" w:type="dxa"/>
            <w:vMerge w:val="continue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30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wizyta studyjna</w:t>
            </w:r>
          </w:p>
        </w:tc>
        <w:tc>
          <w:tcPr>
            <w:tcW w:w="230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3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301" w:type="dxa"/>
            <w:vMerge w:val="continue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</w:tbl>
    <w:p>
      <w:pPr>
        <w:pStyle w:val="Normal"/>
        <w:spacing w:before="0" w:after="0"/>
        <w:rPr/>
      </w:pPr>
      <w:r>
        <w:rPr/>
      </w:r>
    </w:p>
    <w:tbl>
      <w:tblPr>
        <w:tblStyle w:val="Tabela-Siatka"/>
        <w:tblW w:w="921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233"/>
        <w:gridCol w:w="6978"/>
      </w:tblGrid>
      <w:tr>
        <w:trPr/>
        <w:tc>
          <w:tcPr>
            <w:tcW w:w="2233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Wymagania wstępne</w:t>
            </w:r>
          </w:p>
        </w:tc>
        <w:tc>
          <w:tcPr>
            <w:tcW w:w="6978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Znajomość podstawowych zagadnień z zakresu bezpieczeństwa.</w:t>
            </w:r>
          </w:p>
        </w:tc>
      </w:tr>
    </w:tbl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/>
      </w:pPr>
      <w:r>
        <w:rPr/>
      </w:r>
    </w:p>
    <w:p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 xml:space="preserve">Cele kształcenia dla przedmiotu </w:t>
      </w:r>
    </w:p>
    <w:tbl>
      <w:tblPr>
        <w:tblStyle w:val="Tabela-Siatka"/>
        <w:tblW w:w="921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212"/>
      </w:tblGrid>
      <w:tr>
        <w:trPr/>
        <w:tc>
          <w:tcPr>
            <w:tcW w:w="921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C1 - Zapoznanie z głównymi zagadnieniami dotyczącymi bezpieczeństwa transgranicznego.</w:t>
            </w:r>
          </w:p>
        </w:tc>
      </w:tr>
      <w:tr>
        <w:trPr/>
        <w:tc>
          <w:tcPr>
            <w:tcW w:w="921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C2 - Student w trakcie kursu pozna tematykę zagrożeń i wyzwań w obszarze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bezpieczeństwa narodowego RP.</w:t>
            </w:r>
          </w:p>
        </w:tc>
      </w:tr>
    </w:tbl>
    <w:p>
      <w:pPr>
        <w:pStyle w:val="Normal"/>
        <w:rPr/>
      </w:pPr>
      <w:r>
        <w:rPr/>
      </w:r>
      <w:r>
        <w:br w:type="page"/>
      </w:r>
    </w:p>
    <w:p>
      <w:pPr>
        <w:pStyle w:val="Normal"/>
        <w:spacing w:before="0" w:after="0"/>
        <w:rPr/>
      </w:pPr>
      <w:r>
        <w:rPr/>
      </w:r>
    </w:p>
    <w:p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Efekty uczenia się dla przedmiotu wraz z odniesieniem do efektów kierunkowych</w:t>
      </w:r>
    </w:p>
    <w:tbl>
      <w:tblPr>
        <w:tblStyle w:val="Tabela-Siatka"/>
        <w:tblW w:w="921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099"/>
        <w:gridCol w:w="5952"/>
        <w:gridCol w:w="2160"/>
      </w:tblGrid>
      <w:tr>
        <w:trPr/>
        <w:tc>
          <w:tcPr>
            <w:tcW w:w="1099" w:type="dxa"/>
            <w:tcBorders/>
            <w:shd w:color="auto" w:fill="auto" w:val="clear"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Symbol</w:t>
            </w:r>
          </w:p>
        </w:tc>
        <w:tc>
          <w:tcPr>
            <w:tcW w:w="5952" w:type="dxa"/>
            <w:tcBorders/>
            <w:shd w:color="auto" w:fill="auto" w:val="clear"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Opis efektu przedmiotowego</w:t>
            </w:r>
          </w:p>
        </w:tc>
        <w:tc>
          <w:tcPr>
            <w:tcW w:w="2160" w:type="dxa"/>
            <w:tcBorders/>
            <w:shd w:color="auto" w:fill="auto" w:val="clear"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Odniesienie do efektu kierunkowego</w:t>
            </w:r>
          </w:p>
        </w:tc>
      </w:tr>
      <w:tr>
        <w:trPr/>
        <w:tc>
          <w:tcPr>
            <w:tcW w:w="9211" w:type="dxa"/>
            <w:gridSpan w:val="3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WIEDZA</w:t>
            </w:r>
          </w:p>
        </w:tc>
      </w:tr>
      <w:tr>
        <w:trPr/>
        <w:tc>
          <w:tcPr>
            <w:tcW w:w="1099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W_01</w:t>
            </w:r>
          </w:p>
        </w:tc>
        <w:tc>
          <w:tcPr>
            <w:tcW w:w="595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Posiada wiedzę w zakresie bezpieczeństwa transgranicznego.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160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K_W04</w:t>
            </w:r>
          </w:p>
        </w:tc>
      </w:tr>
      <w:tr>
        <w:trPr/>
        <w:tc>
          <w:tcPr>
            <w:tcW w:w="1099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W_02</w:t>
            </w:r>
          </w:p>
        </w:tc>
        <w:tc>
          <w:tcPr>
            <w:tcW w:w="595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 xml:space="preserve">Student zna w zaawansowanym stopniu terminologię związaną z ochroną granic Polski i polską polityką migracyjną oraz specyfikę najważniejszych zagrożeń transgranicznych bezpieczeństwa wewnętrznego i zewnętrznego państwa. </w:t>
            </w:r>
          </w:p>
        </w:tc>
        <w:tc>
          <w:tcPr>
            <w:tcW w:w="2160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K_W02</w:t>
            </w:r>
          </w:p>
        </w:tc>
      </w:tr>
      <w:tr>
        <w:trPr/>
        <w:tc>
          <w:tcPr>
            <w:tcW w:w="1099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 _03</w:t>
            </w:r>
          </w:p>
        </w:tc>
        <w:tc>
          <w:tcPr>
            <w:tcW w:w="595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 xml:space="preserve">Posiada wiedzę na temat ochrony granic, wyzwań i zagrożeń. 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160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9211" w:type="dxa"/>
            <w:gridSpan w:val="3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UMIEJĘTNOŚCI</w:t>
            </w:r>
          </w:p>
        </w:tc>
      </w:tr>
      <w:tr>
        <w:trPr/>
        <w:tc>
          <w:tcPr>
            <w:tcW w:w="1099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U_01</w:t>
            </w:r>
          </w:p>
        </w:tc>
        <w:tc>
          <w:tcPr>
            <w:tcW w:w="595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Potrafi zidentyfikować zagrożenia  i wyzwania w zakresie bezpieczeństwa transgranicznego.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160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K_U01,</w:t>
            </w:r>
          </w:p>
        </w:tc>
      </w:tr>
      <w:tr>
        <w:trPr/>
        <w:tc>
          <w:tcPr>
            <w:tcW w:w="1099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U_02</w:t>
            </w:r>
          </w:p>
        </w:tc>
        <w:tc>
          <w:tcPr>
            <w:tcW w:w="595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Posiada umiejętność dokonywania analizy i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oceny problemów oraz projektowania ich rozwiązań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również przy użyciu nowoczesnych technik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multimedialnych.</w:t>
            </w:r>
          </w:p>
        </w:tc>
        <w:tc>
          <w:tcPr>
            <w:tcW w:w="2160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K_U04</w:t>
            </w:r>
          </w:p>
        </w:tc>
      </w:tr>
      <w:tr>
        <w:trPr/>
        <w:tc>
          <w:tcPr>
            <w:tcW w:w="1099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U_….</w:t>
            </w:r>
          </w:p>
        </w:tc>
        <w:tc>
          <w:tcPr>
            <w:tcW w:w="595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160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9211" w:type="dxa"/>
            <w:gridSpan w:val="3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KOMPETENCJE SPOŁECZNE</w:t>
            </w:r>
          </w:p>
        </w:tc>
      </w:tr>
      <w:tr>
        <w:trPr/>
        <w:tc>
          <w:tcPr>
            <w:tcW w:w="1099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K_01</w:t>
            </w:r>
          </w:p>
        </w:tc>
        <w:tc>
          <w:tcPr>
            <w:tcW w:w="595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Potrafi zdobytą wiedzę wykorzystać do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działań na rzecz społeczności lokalnej, rozumiejąc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cs="Calibri" w:cstheme="minorHAnsi"/>
              </w:rPr>
            </w:pPr>
            <w:r>
              <w:rPr>
                <w:rFonts w:eastAsia="Calibri" w:cs="Calibri" w:cstheme="minorHAnsi"/>
                <w:kern w:val="0"/>
                <w:sz w:val="22"/>
                <w:szCs w:val="22"/>
                <w:lang w:val="pl-PL" w:eastAsia="en-US" w:bidi="ar-SA"/>
              </w:rPr>
              <w:t>globalne problemy związane z bezpieczeństwem.</w:t>
            </w:r>
          </w:p>
        </w:tc>
        <w:tc>
          <w:tcPr>
            <w:tcW w:w="2160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1099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K_02</w:t>
            </w:r>
          </w:p>
        </w:tc>
        <w:tc>
          <w:tcPr>
            <w:tcW w:w="595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160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1099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K_...</w:t>
            </w:r>
          </w:p>
        </w:tc>
        <w:tc>
          <w:tcPr>
            <w:tcW w:w="595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160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</w:tbl>
    <w:p>
      <w:pPr>
        <w:pStyle w:val="ListParagraph"/>
        <w:ind w:left="1080" w:hanging="0"/>
        <w:rPr>
          <w:b/>
        </w:rPr>
      </w:pPr>
      <w:r>
        <w:rPr>
          <w:b/>
        </w:rPr>
      </w:r>
    </w:p>
    <w:p>
      <w:pPr>
        <w:pStyle w:val="ListParagraph"/>
        <w:numPr>
          <w:ilvl w:val="0"/>
          <w:numId w:val="1"/>
        </w:numPr>
        <w:rPr>
          <w:b/>
        </w:rPr>
      </w:pPr>
      <w:r>
        <w:rPr>
          <w:b/>
        </w:rPr>
        <w:t>Opis przedmiotu/ treści programowe</w:t>
      </w:r>
    </w:p>
    <w:tbl>
      <w:tblPr>
        <w:tblStyle w:val="Tabela-Siatka"/>
        <w:tblW w:w="921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212"/>
      </w:tblGrid>
      <w:tr>
        <w:trPr/>
        <w:tc>
          <w:tcPr>
            <w:tcW w:w="9212" w:type="dxa"/>
            <w:tcBorders/>
            <w:shd w:color="auto" w:fill="auto" w:val="clear"/>
          </w:tcPr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rFonts w:eastAsia="Times New Roman" w:cs="Calibri" w:cstheme="minorHAnsi"/>
                <w:lang w:eastAsia="pl-PL"/>
              </w:rPr>
            </w:pPr>
            <w:r>
              <w:rPr>
                <w:rFonts w:eastAsia="Times New Roman" w:cs="Calibri" w:cstheme="minorHAnsi"/>
                <w:kern w:val="0"/>
                <w:sz w:val="24"/>
                <w:szCs w:val="24"/>
                <w:lang w:val="pl-PL" w:eastAsia="pl-PL" w:bidi="ar-SA"/>
              </w:rPr>
              <w:t>1.</w:t>
            </w:r>
            <w:r>
              <w:rPr>
                <w:rFonts w:eastAsia="Times New Roman" w:cs="Calibri" w:cstheme="minorHAnsi"/>
                <w:kern w:val="0"/>
                <w:sz w:val="22"/>
                <w:szCs w:val="22"/>
                <w:lang w:val="pl-PL" w:eastAsia="pl-PL" w:bidi="ar-SA"/>
              </w:rPr>
              <w:t>Transgraniczne wyzwania bezpieczeństwa – identyfikacja problemu, podstawowe kategorie.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rFonts w:eastAsia="Times New Roman" w:cs="Calibri" w:cstheme="minorHAnsi"/>
                <w:lang w:eastAsia="pl-PL"/>
              </w:rPr>
            </w:pPr>
            <w:r>
              <w:rPr>
                <w:rFonts w:eastAsia="Times New Roman" w:cs="Calibri" w:cstheme="minorHAnsi"/>
                <w:kern w:val="0"/>
                <w:sz w:val="22"/>
                <w:szCs w:val="22"/>
                <w:lang w:val="pl-PL" w:eastAsia="pl-PL" w:bidi="ar-SA"/>
              </w:rPr>
              <w:t>2. Wpływ Porozumienia z Schengen na bezpieczeństwo transgraniczne w Europie.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rFonts w:eastAsia="Times New Roman" w:cs="Calibri" w:cstheme="minorHAnsi"/>
                <w:lang w:eastAsia="pl-PL"/>
              </w:rPr>
            </w:pPr>
            <w:r>
              <w:rPr>
                <w:rFonts w:eastAsia="Times New Roman" w:cs="Calibri" w:cstheme="minorHAnsi"/>
                <w:kern w:val="0"/>
                <w:sz w:val="22"/>
                <w:szCs w:val="22"/>
                <w:lang w:val="pl-PL" w:eastAsia="pl-PL" w:bidi="ar-SA"/>
              </w:rPr>
              <w:t>3.</w:t>
            </w: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 xml:space="preserve"> Charakterystyka zagrożeń transgranicznych i sposoby przeciwdziałania im.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rFonts w:eastAsia="Times New Roman" w:cs="Calibri" w:cstheme="minorHAnsi"/>
                <w:lang w:eastAsia="pl-PL"/>
              </w:rPr>
            </w:pPr>
            <w:r>
              <w:rPr>
                <w:rFonts w:eastAsia="Times New Roman" w:cs="Calibri" w:cstheme="minorHAnsi"/>
                <w:kern w:val="0"/>
                <w:sz w:val="22"/>
                <w:szCs w:val="22"/>
                <w:lang w:val="pl-PL" w:eastAsia="pl-PL" w:bidi="ar-SA"/>
              </w:rPr>
              <w:t>4. Podmioty powołane do przeciwdziałania, zapobiegania i zwalczania zagrożeń transgranicznych w RP i Unii Europejskiej.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rFonts w:eastAsia="Times New Roman" w:cs="Calibri" w:cstheme="minorHAnsi"/>
                <w:lang w:eastAsia="pl-PL"/>
              </w:rPr>
            </w:pPr>
            <w:r>
              <w:rPr>
                <w:rFonts w:eastAsia="Times New Roman" w:cs="Calibri" w:cstheme="minorHAnsi"/>
                <w:kern w:val="0"/>
                <w:sz w:val="22"/>
                <w:szCs w:val="22"/>
                <w:lang w:val="pl-PL" w:eastAsia="pl-PL" w:bidi="ar-SA"/>
              </w:rPr>
              <w:t>5.</w:t>
            </w: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 xml:space="preserve"> </w:t>
            </w:r>
            <w:r>
              <w:rPr>
                <w:rFonts w:eastAsia="Times New Roman" w:cs="Calibri" w:cstheme="minorHAnsi"/>
                <w:kern w:val="0"/>
                <w:sz w:val="22"/>
                <w:szCs w:val="22"/>
                <w:lang w:val="pl-PL" w:eastAsia="pl-PL" w:bidi="ar-SA"/>
              </w:rPr>
              <w:t>Instytucjonalny wymiar międzynarodowej współpracy na rzecz bezpieczeństwa granicy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rFonts w:eastAsia="Times New Roman" w:cs="Calibri" w:cstheme="minorHAnsi"/>
                <w:lang w:eastAsia="pl-PL"/>
              </w:rPr>
            </w:pPr>
            <w:r>
              <w:rPr>
                <w:rFonts w:eastAsia="Times New Roman" w:cs="Calibri" w:cstheme="minorHAnsi"/>
                <w:kern w:val="0"/>
                <w:sz w:val="22"/>
                <w:szCs w:val="22"/>
                <w:lang w:val="pl-PL" w:eastAsia="pl-PL" w:bidi="ar-SA"/>
              </w:rPr>
              <w:t>zewnętrznej Unii Europejskiej.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rFonts w:eastAsia="Times New Roman" w:cs="Calibri" w:cstheme="minorHAnsi"/>
                <w:lang w:eastAsia="pl-PL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6.Nielegalna migracja jako wyzwanie i zagrożenie dla bezpieczeństwa transgranicznego.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rFonts w:eastAsia="Times New Roman" w:cs="Calibri" w:cstheme="minorHAnsi"/>
                <w:lang w:eastAsia="pl-PL"/>
              </w:rPr>
            </w:pPr>
            <w:r>
              <w:rPr>
                <w:rFonts w:eastAsia="Times New Roman" w:cs="Calibri" w:cstheme="minorHAnsi"/>
                <w:kern w:val="0"/>
                <w:sz w:val="22"/>
                <w:szCs w:val="22"/>
                <w:lang w:val="pl-PL" w:eastAsia="pl-PL" w:bidi="ar-SA"/>
              </w:rPr>
              <w:t>7.</w:t>
            </w: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 xml:space="preserve"> Perspektywy rozwoju bezpieczeństwa transgranicznego RP</w:t>
            </w:r>
            <w:r>
              <w:rPr>
                <w:rFonts w:eastAsia="Times New Roman" w:cs="Calibri" w:cstheme="minorHAnsi"/>
                <w:kern w:val="0"/>
                <w:sz w:val="22"/>
                <w:szCs w:val="22"/>
                <w:lang w:val="pl-PL" w:eastAsia="pl-PL" w:bidi="ar-SA"/>
              </w:rPr>
              <w:t>. Nowe trendy w przestępczości transgranicznej.</w:t>
            </w:r>
          </w:p>
          <w:p>
            <w:pPr>
              <w:pStyle w:val="Normal"/>
              <w:widowControl w:val="false"/>
              <w:spacing w:lineRule="auto" w:line="240" w:before="0" w:after="0"/>
              <w:jc w:val="left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</w:r>
          </w:p>
        </w:tc>
      </w:tr>
    </w:tbl>
    <w:p>
      <w:pPr>
        <w:pStyle w:val="Normal"/>
        <w:rPr>
          <w:b/>
        </w:rPr>
      </w:pPr>
      <w:r>
        <w:rPr>
          <w:b/>
        </w:rPr>
      </w:r>
    </w:p>
    <w:p>
      <w:pPr>
        <w:pStyle w:val="ListParagraph"/>
        <w:numPr>
          <w:ilvl w:val="0"/>
          <w:numId w:val="2"/>
        </w:numPr>
        <w:rPr>
          <w:b/>
        </w:rPr>
      </w:pPr>
      <w:r>
        <w:rPr>
          <w:b/>
        </w:rPr>
        <w:t>Metody realizacji i weryfikacji efektów uczenia się</w:t>
      </w:r>
    </w:p>
    <w:tbl>
      <w:tblPr>
        <w:tblStyle w:val="Tabela-Siatka"/>
        <w:tblW w:w="921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100"/>
        <w:gridCol w:w="2694"/>
        <w:gridCol w:w="2834"/>
        <w:gridCol w:w="2583"/>
      </w:tblGrid>
      <w:tr>
        <w:trPr/>
        <w:tc>
          <w:tcPr>
            <w:tcW w:w="1100" w:type="dxa"/>
            <w:tcBorders/>
            <w:shd w:color="auto" w:fill="auto" w:val="clear"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Symbol efektu</w:t>
            </w:r>
          </w:p>
        </w:tc>
        <w:tc>
          <w:tcPr>
            <w:tcW w:w="2694" w:type="dxa"/>
            <w:tcBorders/>
            <w:shd w:color="auto" w:fill="auto" w:val="clear"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Metody dydaktyczne</w:t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i/>
                <w:kern w:val="0"/>
                <w:sz w:val="18"/>
                <w:szCs w:val="18"/>
                <w:lang w:val="pl-PL" w:eastAsia="en-US" w:bidi="ar-SA"/>
              </w:rPr>
              <w:t>(lista wyboru)</w:t>
            </w:r>
          </w:p>
        </w:tc>
        <w:tc>
          <w:tcPr>
            <w:tcW w:w="2834" w:type="dxa"/>
            <w:tcBorders/>
            <w:shd w:color="auto" w:fill="auto" w:val="clear"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Metody weryfikacji</w:t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i/>
                <w:kern w:val="0"/>
                <w:sz w:val="18"/>
                <w:szCs w:val="18"/>
                <w:lang w:val="pl-PL" w:eastAsia="en-US" w:bidi="ar-SA"/>
              </w:rPr>
              <w:t>(lista wyboru)</w:t>
            </w:r>
          </w:p>
        </w:tc>
        <w:tc>
          <w:tcPr>
            <w:tcW w:w="2583" w:type="dxa"/>
            <w:tcBorders/>
            <w:shd w:color="auto" w:fill="auto" w:val="clear"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Sposoby dokumentacji</w:t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i/>
                <w:kern w:val="0"/>
                <w:sz w:val="18"/>
                <w:szCs w:val="18"/>
                <w:lang w:val="pl-PL" w:eastAsia="en-US" w:bidi="ar-SA"/>
              </w:rPr>
              <w:t>(lista wyboru)</w:t>
            </w:r>
          </w:p>
        </w:tc>
      </w:tr>
      <w:tr>
        <w:trPr/>
        <w:tc>
          <w:tcPr>
            <w:tcW w:w="9211" w:type="dxa"/>
            <w:gridSpan w:val="4"/>
            <w:tcBorders/>
            <w:shd w:color="auto" w:fill="auto" w:val="clear"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WIEDZA</w:t>
            </w:r>
          </w:p>
        </w:tc>
      </w:tr>
      <w:tr>
        <w:trPr/>
        <w:tc>
          <w:tcPr>
            <w:tcW w:w="1100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W_01</w:t>
            </w:r>
          </w:p>
        </w:tc>
        <w:tc>
          <w:tcPr>
            <w:tcW w:w="269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Times New Roman" w:ascii="Times New Roman" w:hAnsi="Times New Roman"/>
                <w:kern w:val="0"/>
                <w:sz w:val="24"/>
                <w:szCs w:val="24"/>
                <w:lang w:val="pl-PL" w:eastAsia="en-US" w:bidi="ar-SA"/>
              </w:rPr>
              <w:t>Wykład konwencjonalny, konwersatoryjny, z wykorzystaniem prezentacji multimedialnych, problemowy, udział w konferencjach naukowych</w:t>
            </w:r>
          </w:p>
        </w:tc>
        <w:tc>
          <w:tcPr>
            <w:tcW w:w="283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zaliczenie pisemne</w:t>
            </w:r>
          </w:p>
        </w:tc>
        <w:tc>
          <w:tcPr>
            <w:tcW w:w="2583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protokół</w:t>
            </w:r>
          </w:p>
        </w:tc>
      </w:tr>
      <w:tr>
        <w:trPr/>
        <w:tc>
          <w:tcPr>
            <w:tcW w:w="1100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W_02</w:t>
            </w:r>
          </w:p>
        </w:tc>
        <w:tc>
          <w:tcPr>
            <w:tcW w:w="269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83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583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protokół</w:t>
            </w:r>
          </w:p>
        </w:tc>
      </w:tr>
      <w:tr>
        <w:trPr/>
        <w:tc>
          <w:tcPr>
            <w:tcW w:w="1100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W_…</w:t>
            </w:r>
          </w:p>
        </w:tc>
        <w:tc>
          <w:tcPr>
            <w:tcW w:w="269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83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583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9211" w:type="dxa"/>
            <w:gridSpan w:val="4"/>
            <w:tcBorders/>
            <w:shd w:color="auto" w:fill="auto" w:val="clear"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UMIEJĘTNOŚCI</w:t>
            </w:r>
          </w:p>
        </w:tc>
      </w:tr>
      <w:tr>
        <w:trPr/>
        <w:tc>
          <w:tcPr>
            <w:tcW w:w="1100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U_01</w:t>
            </w:r>
          </w:p>
        </w:tc>
        <w:tc>
          <w:tcPr>
            <w:tcW w:w="269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Analiza tekstu</w:t>
            </w:r>
          </w:p>
        </w:tc>
        <w:tc>
          <w:tcPr>
            <w:tcW w:w="283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zaliczenie</w:t>
            </w:r>
          </w:p>
        </w:tc>
        <w:tc>
          <w:tcPr>
            <w:tcW w:w="2583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protokół</w:t>
            </w:r>
          </w:p>
        </w:tc>
      </w:tr>
      <w:tr>
        <w:trPr/>
        <w:tc>
          <w:tcPr>
            <w:tcW w:w="1100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U_02</w:t>
            </w:r>
          </w:p>
        </w:tc>
        <w:tc>
          <w:tcPr>
            <w:tcW w:w="269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Studium przypadku</w:t>
            </w:r>
          </w:p>
        </w:tc>
        <w:tc>
          <w:tcPr>
            <w:tcW w:w="283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zaliczenie</w:t>
            </w:r>
          </w:p>
        </w:tc>
        <w:tc>
          <w:tcPr>
            <w:tcW w:w="2583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Karta oceny projektu</w:t>
            </w:r>
          </w:p>
        </w:tc>
      </w:tr>
      <w:tr>
        <w:trPr/>
        <w:tc>
          <w:tcPr>
            <w:tcW w:w="1100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U_….</w:t>
            </w:r>
          </w:p>
        </w:tc>
        <w:tc>
          <w:tcPr>
            <w:tcW w:w="269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Metoda projektu</w:t>
            </w:r>
          </w:p>
        </w:tc>
        <w:tc>
          <w:tcPr>
            <w:tcW w:w="283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prezentacja</w:t>
            </w:r>
          </w:p>
        </w:tc>
        <w:tc>
          <w:tcPr>
            <w:tcW w:w="2583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Karta oceny projektu</w:t>
            </w:r>
          </w:p>
        </w:tc>
      </w:tr>
      <w:tr>
        <w:trPr/>
        <w:tc>
          <w:tcPr>
            <w:tcW w:w="9211" w:type="dxa"/>
            <w:gridSpan w:val="4"/>
            <w:tcBorders/>
            <w:shd w:color="auto" w:fill="auto" w:val="clear"/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KOMPETENCJE SPOŁECZNE</w:t>
            </w:r>
          </w:p>
        </w:tc>
      </w:tr>
      <w:tr>
        <w:trPr/>
        <w:tc>
          <w:tcPr>
            <w:tcW w:w="1100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K_01</w:t>
            </w:r>
          </w:p>
        </w:tc>
        <w:tc>
          <w:tcPr>
            <w:tcW w:w="269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Dyskusja</w:t>
            </w:r>
          </w:p>
        </w:tc>
        <w:tc>
          <w:tcPr>
            <w:tcW w:w="283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zaliczenie</w:t>
            </w:r>
          </w:p>
        </w:tc>
        <w:tc>
          <w:tcPr>
            <w:tcW w:w="2583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protokół</w:t>
            </w:r>
          </w:p>
        </w:tc>
      </w:tr>
      <w:tr>
        <w:trPr/>
        <w:tc>
          <w:tcPr>
            <w:tcW w:w="1100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K_02</w:t>
            </w:r>
          </w:p>
        </w:tc>
        <w:tc>
          <w:tcPr>
            <w:tcW w:w="269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83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583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1100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K_...</w:t>
            </w:r>
          </w:p>
        </w:tc>
        <w:tc>
          <w:tcPr>
            <w:tcW w:w="269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834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583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</w:r>
          </w:p>
        </w:tc>
      </w:tr>
    </w:tbl>
    <w:p>
      <w:pPr>
        <w:pStyle w:val="Normal"/>
        <w:spacing w:before="0" w:after="0"/>
        <w:rPr/>
      </w:pPr>
      <w:r>
        <w:rPr/>
      </w:r>
    </w:p>
    <w:p>
      <w:pPr>
        <w:pStyle w:val="ListParagraph"/>
        <w:ind w:left="1080" w:hanging="0"/>
        <w:rPr>
          <w:b/>
        </w:rPr>
      </w:pPr>
      <w:r>
        <w:rPr>
          <w:b/>
        </w:rPr>
      </w:r>
    </w:p>
    <w:p>
      <w:pPr>
        <w:pStyle w:val="ListParagraph"/>
        <w:numPr>
          <w:ilvl w:val="0"/>
          <w:numId w:val="2"/>
        </w:numPr>
        <w:rPr>
          <w:b/>
        </w:rPr>
      </w:pPr>
      <w:r>
        <w:rPr>
          <w:b/>
        </w:rPr>
        <w:t>Kryteria oceny, wagi…</w:t>
      </w:r>
    </w:p>
    <w:p>
      <w:pPr>
        <w:pStyle w:val="Normal"/>
        <w:ind w:left="1080" w:hanging="0"/>
        <w:rPr>
          <w:b/>
        </w:rPr>
      </w:pPr>
      <w:r>
        <w:rPr>
          <w:bCs/>
        </w:rPr>
        <w:t>Systematyczna obecność na zajęciach. Zaliczenie lektur. Udział w wydarzeniach (konferencje tematyczne, seminaria, wizyty studyjne) związanych z tematyką zajęć. Zaliczenie na ocenę w formie pisemnej.</w:t>
      </w:r>
    </w:p>
    <w:p>
      <w:pPr>
        <w:pStyle w:val="ListParagraph"/>
        <w:numPr>
          <w:ilvl w:val="0"/>
          <w:numId w:val="2"/>
        </w:numPr>
        <w:rPr>
          <w:b/>
        </w:rPr>
      </w:pPr>
      <w:r>
        <w:rPr>
          <w:b/>
        </w:rPr>
        <w:t>Obciążenie pracą studenta</w:t>
      </w:r>
    </w:p>
    <w:tbl>
      <w:tblPr>
        <w:tblStyle w:val="Tabela-Siatka"/>
        <w:tblW w:w="9211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605"/>
        <w:gridCol w:w="4605"/>
      </w:tblGrid>
      <w:tr>
        <w:trPr/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Forma aktywności studenta</w:t>
            </w:r>
          </w:p>
        </w:tc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Liczba godzin</w:t>
            </w:r>
          </w:p>
        </w:tc>
      </w:tr>
      <w:tr>
        <w:trPr/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 xml:space="preserve">Liczba godzin kontaktowych z nauczycielem 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i/>
                <w:i/>
                <w:sz w:val="18"/>
                <w:szCs w:val="18"/>
              </w:rPr>
            </w:pPr>
            <w:r>
              <w:rPr>
                <w:rFonts w:eastAsia="Calibri" w:cs=""/>
                <w:i/>
                <w:kern w:val="0"/>
                <w:sz w:val="18"/>
                <w:szCs w:val="18"/>
                <w:lang w:val="pl-PL" w:eastAsia="en-US" w:bidi="ar-SA"/>
              </w:rPr>
            </w:r>
          </w:p>
        </w:tc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15</w:t>
            </w:r>
          </w:p>
        </w:tc>
      </w:tr>
      <w:tr>
        <w:trPr/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Liczba godzin indywidualnej pracy studenta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i/>
                <w:i/>
                <w:sz w:val="18"/>
                <w:szCs w:val="18"/>
              </w:rPr>
            </w:pPr>
            <w:r>
              <w:rPr>
                <w:rFonts w:eastAsia="Calibri" w:cs=""/>
                <w:i/>
                <w:kern w:val="0"/>
                <w:sz w:val="18"/>
                <w:szCs w:val="18"/>
                <w:lang w:val="pl-PL" w:eastAsia="en-US" w:bidi="ar-SA"/>
              </w:rPr>
            </w:r>
          </w:p>
        </w:tc>
        <w:tc>
          <w:tcPr>
            <w:tcW w:w="4605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</w:rPr>
            </w:pPr>
            <w:r>
              <w:rPr>
                <w:rFonts w:eastAsia="Calibri" w:cs=""/>
                <w:b/>
                <w:kern w:val="0"/>
                <w:sz w:val="22"/>
                <w:szCs w:val="22"/>
                <w:lang w:val="pl-PL" w:eastAsia="en-US" w:bidi="ar-SA"/>
              </w:rPr>
              <w:t>30</w:t>
            </w:r>
          </w:p>
        </w:tc>
      </w:tr>
    </w:tbl>
    <w:p>
      <w:pPr>
        <w:pStyle w:val="Normal"/>
        <w:spacing w:before="0" w:after="0"/>
        <w:rPr>
          <w:b/>
        </w:rPr>
      </w:pPr>
      <w:r>
        <w:rPr>
          <w:b/>
        </w:rPr>
      </w:r>
    </w:p>
    <w:p>
      <w:pPr>
        <w:pStyle w:val="ListParagraph"/>
        <w:numPr>
          <w:ilvl w:val="0"/>
          <w:numId w:val="2"/>
        </w:numPr>
        <w:rPr>
          <w:b/>
        </w:rPr>
      </w:pPr>
      <w:r>
        <w:rPr>
          <w:b/>
        </w:rPr>
        <w:t>Literatura</w:t>
      </w:r>
    </w:p>
    <w:tbl>
      <w:tblPr>
        <w:tblStyle w:val="Tabela-Siatka"/>
        <w:tblW w:w="9212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212"/>
      </w:tblGrid>
      <w:tr>
        <w:trPr/>
        <w:tc>
          <w:tcPr>
            <w:tcW w:w="921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Literatura podstawowa</w:t>
            </w:r>
          </w:p>
        </w:tc>
      </w:tr>
      <w:tr>
        <w:trPr/>
        <w:tc>
          <w:tcPr>
            <w:tcW w:w="9212" w:type="dxa"/>
            <w:tcBorders/>
            <w:shd w:color="auto" w:fill="auto" w:val="clear"/>
          </w:tcPr>
          <w:p>
            <w:pPr>
              <w:pStyle w:val="Normal"/>
              <w:widowControl/>
              <w:spacing w:before="0" w:after="20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Wawrzusiszyn, Bezpieczeństwo transgraniczne Rzeczypospolitej Polskiej, Olsztyn 2020.</w:t>
            </w:r>
          </w:p>
          <w:p>
            <w:pPr>
              <w:pStyle w:val="Normal"/>
              <w:widowControl/>
              <w:spacing w:before="0" w:after="20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 xml:space="preserve">R. Jakubczak, B. Wiśniewski, </w:t>
            </w:r>
            <w:r>
              <w:rPr>
                <w:rFonts w:eastAsia="Calibri" w:cs=""/>
                <w:i/>
                <w:iCs/>
                <w:kern w:val="0"/>
                <w:sz w:val="22"/>
                <w:szCs w:val="22"/>
                <w:lang w:val="pl-PL" w:eastAsia="en-US" w:bidi="ar-SA"/>
              </w:rPr>
              <w:t>System ochrony granicy państwowej Rzeczypospolitej Polskiej i prognozy na przyszłość.</w:t>
            </w:r>
          </w:p>
        </w:tc>
      </w:tr>
      <w:tr>
        <w:trPr/>
        <w:tc>
          <w:tcPr>
            <w:tcW w:w="9212" w:type="dxa"/>
            <w:tcBorders/>
            <w:shd w:color="auto" w:fill="auto" w:val="clea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kern w:val="0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Literatura uzupełniająca</w:t>
            </w:r>
          </w:p>
        </w:tc>
      </w:tr>
      <w:tr>
        <w:trPr/>
        <w:tc>
          <w:tcPr>
            <w:tcW w:w="9212" w:type="dxa"/>
            <w:tcBorders/>
            <w:shd w:color="auto" w:fill="auto" w:val="clear"/>
          </w:tcPr>
          <w:p>
            <w:pPr>
              <w:pStyle w:val="Normal"/>
              <w:widowControl/>
              <w:spacing w:before="0" w:after="200"/>
              <w:jc w:val="left"/>
              <w:rPr>
                <w:b/>
              </w:rPr>
            </w:pPr>
            <w:r>
              <w:rPr>
                <w:rFonts w:eastAsia="Calibri" w:cs=""/>
                <w:kern w:val="0"/>
                <w:sz w:val="22"/>
                <w:szCs w:val="22"/>
                <w:lang w:val="pl-PL" w:eastAsia="en-US" w:bidi="ar-SA"/>
              </w:rPr>
              <w:t>J. Serdakowski: Perspektywy rozwoju bezpieczeństwa transgranicznego RP.</w:t>
            </w:r>
          </w:p>
        </w:tc>
      </w:tr>
    </w:tbl>
    <w:p>
      <w:pPr>
        <w:pStyle w:val="Normal"/>
        <w:spacing w:before="0" w:after="0"/>
        <w:rPr>
          <w:b/>
        </w:rPr>
      </w:pPr>
      <w:r>
        <w:rPr>
          <w:b/>
        </w:rPr>
      </w:r>
    </w:p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/>
      </w:r>
    </w:p>
    <w:sectPr>
      <w:headerReference w:type="default" r:id="rId2"/>
      <w:type w:val="nextPage"/>
      <w:pgSz w:w="11906" w:h="16838"/>
      <w:pgMar w:left="1417" w:right="1417" w:gutter="0" w:header="708" w:top="1417" w:footer="0" w:bottom="1417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ahoma">
    <w:charset w:val="ee"/>
    <w:family w:val="roman"/>
    <w:pitch w:val="variable"/>
  </w:font>
  <w:font w:name="Courier New"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Times New Roman">
    <w:charset w:val="ee"/>
    <w:family w:val="roman"/>
    <w:pitch w:val="variable"/>
  </w:font>
  <w:font w:name="Arial">
    <w:charset w:val="ee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Gwka"/>
      <w:jc w:val="right"/>
      <w:rPr>
        <w:i/>
        <w:i/>
      </w:rPr>
    </w:pPr>
    <w:r>
      <w:rPr>
        <w:i/>
      </w:rPr>
      <w:t>Załącznik nr 5 do dokumentacji programowej</w:t>
    </w:r>
  </w:p>
  <w:p>
    <w:pPr>
      <w:pStyle w:val="Gwka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upperRoman"/>
      <w:lvlText w:val="%1."/>
      <w:lvlJc w:val="left"/>
      <w:pPr>
        <w:tabs>
          <w:tab w:val="num" w:pos="0"/>
        </w:tabs>
        <w:ind w:left="1080" w:hanging="72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upperRoman"/>
      <w:lvlText w:val="%4."/>
      <w:lvlJc w:val="left"/>
      <w:pPr>
        <w:tabs>
          <w:tab w:val="num" w:pos="0"/>
        </w:tabs>
        <w:ind w:left="2880" w:hanging="360"/>
      </w:pPr>
      <w:rPr>
        <w:rFonts w:ascii="Times New Roman" w:hAnsi="Times New Roman" w:eastAsia="Times New Roman"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1"/>
      <w:numFmt w:val="upperRoman"/>
      <w:lvlText w:val="%1."/>
      <w:lvlJc w:val="left"/>
      <w:pPr>
        <w:tabs>
          <w:tab w:val="num" w:pos="0"/>
        </w:tabs>
        <w:ind w:left="1800" w:hanging="72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  <w:rPr/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atory" w:customStyle="1">
    <w:name w:val="tabulatory"/>
    <w:basedOn w:val="DefaultParagraphFont"/>
    <w:qFormat/>
    <w:rsid w:val="00d406f6"/>
    <w:rPr/>
  </w:style>
  <w:style w:type="character" w:styleId="Czeinternetowe" w:customStyle="1">
    <w:name w:val="Hyperlink"/>
    <w:basedOn w:val="DefaultParagraphFont"/>
    <w:uiPriority w:val="99"/>
    <w:unhideWhenUsed/>
    <w:rsid w:val="00d406f6"/>
    <w:rPr>
      <w:color w:val="0000FF"/>
      <w:u w:val="single"/>
    </w:rPr>
  </w:style>
  <w:style w:type="character" w:styleId="Access" w:customStyle="1">
    <w:name w:val="access"/>
    <w:basedOn w:val="DefaultParagraphFont"/>
    <w:qFormat/>
    <w:rsid w:val="003c65da"/>
    <w:rPr/>
  </w:style>
  <w:style w:type="character" w:styleId="Luchili" w:customStyle="1">
    <w:name w:val="luc_hili"/>
    <w:basedOn w:val="DefaultParagraphFont"/>
    <w:qFormat/>
    <w:rsid w:val="001a5d37"/>
    <w:rPr/>
  </w:style>
  <w:style w:type="character" w:styleId="NagwekZnak" w:customStyle="1">
    <w:name w:val="Nagłówek Znak"/>
    <w:basedOn w:val="DefaultParagraphFont"/>
    <w:uiPriority w:val="99"/>
    <w:qFormat/>
    <w:rsid w:val="00b04272"/>
    <w:rPr/>
  </w:style>
  <w:style w:type="character" w:styleId="StopkaZnak" w:customStyle="1">
    <w:name w:val="Stopka Znak"/>
    <w:basedOn w:val="DefaultParagraphFont"/>
    <w:uiPriority w:val="99"/>
    <w:qFormat/>
    <w:rsid w:val="00b04272"/>
    <w:rPr/>
  </w:style>
  <w:style w:type="character" w:styleId="TekstdymkaZnak" w:customStyle="1">
    <w:name w:val="Tekst dymka Znak"/>
    <w:basedOn w:val="DefaultParagraphFont"/>
    <w:link w:val="BalloonText"/>
    <w:uiPriority w:val="99"/>
    <w:semiHidden/>
    <w:qFormat/>
    <w:rsid w:val="00b04272"/>
    <w:rPr>
      <w:rFonts w:ascii="Tahoma" w:hAnsi="Tahoma" w:cs="Tahoma"/>
      <w:sz w:val="16"/>
      <w:szCs w:val="16"/>
    </w:rPr>
  </w:style>
  <w:style w:type="character" w:styleId="Fontstyle01" w:customStyle="1">
    <w:name w:val="fontstyle01"/>
    <w:basedOn w:val="DefaultParagraphFont"/>
    <w:qFormat/>
    <w:rsid w:val="00807ef2"/>
    <w:rPr>
      <w:rFonts w:ascii="Calibri" w:hAnsi="Calibri" w:cs="Calibri"/>
      <w:b w:val="false"/>
      <w:bCs w:val="false"/>
      <w:i w:val="false"/>
      <w:iCs w:val="false"/>
      <w:color w:val="000000"/>
      <w:sz w:val="22"/>
      <w:szCs w:val="22"/>
    </w:rPr>
  </w:style>
  <w:style w:type="character" w:styleId="Markedcontent" w:customStyle="1">
    <w:name w:val="markedcontent"/>
    <w:basedOn w:val="DefaultParagraphFont"/>
    <w:qFormat/>
    <w:rsid w:val="00807ef2"/>
    <w:rPr/>
  </w:style>
  <w:style w:type="character" w:styleId="HTML-wstpniesformatowanyZnak" w:customStyle="1">
    <w:name w:val="HTML - wstępnie sformatowany Znak"/>
    <w:basedOn w:val="DefaultParagraphFont"/>
    <w:link w:val="HTMLPreformatted"/>
    <w:uiPriority w:val="99"/>
    <w:semiHidden/>
    <w:qFormat/>
    <w:rsid w:val="0079330c"/>
    <w:rPr>
      <w:rFonts w:ascii="Courier New" w:hAnsi="Courier New" w:eastAsia="Times New Roman" w:cs="Courier New"/>
      <w:sz w:val="20"/>
      <w:szCs w:val="20"/>
      <w:lang w:eastAsia="pl-PL"/>
    </w:rPr>
  </w:style>
  <w:style w:type="character" w:styleId="Y2iqfc" w:customStyle="1">
    <w:name w:val="y2iqfc"/>
    <w:basedOn w:val="DefaultParagraphFont"/>
    <w:qFormat/>
    <w:rsid w:val="0079330c"/>
    <w:rPr/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 w:customStyle="1">
    <w:name w:val="Indeks"/>
    <w:basedOn w:val="Normal"/>
    <w:qFormat/>
    <w:pPr>
      <w:suppressLineNumbers/>
    </w:pPr>
    <w:rPr>
      <w:rFonts w:cs="Arial"/>
    </w:rPr>
  </w:style>
  <w:style w:type="paragraph" w:styleId="Gwkaistopka">
    <w:name w:val="Główka i stopka"/>
    <w:basedOn w:val="Normal"/>
    <w:qFormat/>
    <w:pPr/>
    <w:rPr/>
  </w:style>
  <w:style w:type="paragraph" w:styleId="Gwka">
    <w:name w:val="Header"/>
    <w:basedOn w:val="Normal"/>
    <w:next w:val="Tretekstu"/>
    <w:link w:val="NagwekZnak"/>
    <w:uiPriority w:val="99"/>
    <w:unhideWhenUsed/>
    <w:rsid w:val="00b04272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Western" w:customStyle="1">
    <w:name w:val="western"/>
    <w:basedOn w:val="Normal"/>
    <w:qFormat/>
    <w:rsid w:val="007d0038"/>
    <w:pPr>
      <w:spacing w:lineRule="atLeast" w:line="102" w:beforeAutospacing="1" w:after="119"/>
    </w:pPr>
    <w:rPr>
      <w:rFonts w:ascii="Times New Roman" w:hAnsi="Times New Roman" w:eastAsia="Times New Roman" w:cs="Times New Roman"/>
      <w:color w:val="000000"/>
      <w:sz w:val="24"/>
      <w:szCs w:val="24"/>
      <w:lang w:eastAsia="pl-PL"/>
    </w:rPr>
  </w:style>
  <w:style w:type="paragraph" w:styleId="ListParagraph">
    <w:name w:val="List Paragraph"/>
    <w:basedOn w:val="Normal"/>
    <w:uiPriority w:val="34"/>
    <w:qFormat/>
    <w:rsid w:val="007d0038"/>
    <w:pPr>
      <w:spacing w:before="0" w:after="200"/>
      <w:ind w:left="720" w:hanging="0"/>
      <w:contextualSpacing/>
    </w:pPr>
    <w:rPr/>
  </w:style>
  <w:style w:type="paragraph" w:styleId="NormalWeb">
    <w:name w:val="Normal (Web)"/>
    <w:basedOn w:val="Normal"/>
    <w:uiPriority w:val="99"/>
    <w:semiHidden/>
    <w:unhideWhenUsed/>
    <w:qFormat/>
    <w:rsid w:val="00d27ddc"/>
    <w:pPr>
      <w:spacing w:lineRule="auto" w:line="240" w:beforeAutospacing="1" w:after="119"/>
    </w:pPr>
    <w:rPr>
      <w:rFonts w:ascii="Times New Roman" w:hAnsi="Times New Roman" w:eastAsia="Times New Roman" w:cs="Times New Roman"/>
      <w:sz w:val="24"/>
      <w:szCs w:val="24"/>
      <w:lang w:eastAsia="pl-PL"/>
    </w:rPr>
  </w:style>
  <w:style w:type="paragraph" w:styleId="Default" w:customStyle="1">
    <w:name w:val="Default"/>
    <w:qFormat/>
    <w:rsid w:val="007841b3"/>
    <w:pPr>
      <w:widowControl/>
      <w:bidi w:val="0"/>
      <w:spacing w:before="0" w:after="0"/>
      <w:jc w:val="left"/>
    </w:pPr>
    <w:rPr>
      <w:rFonts w:ascii="Arial" w:hAnsi="Arial" w:eastAsia="Calibri" w:cs="Arial"/>
      <w:color w:val="000000"/>
      <w:kern w:val="0"/>
      <w:sz w:val="24"/>
      <w:szCs w:val="24"/>
      <w:lang w:val="pl-PL" w:eastAsia="en-US" w:bidi="ar-SA"/>
    </w:rPr>
  </w:style>
  <w:style w:type="paragraph" w:styleId="Stopka">
    <w:name w:val="Footer"/>
    <w:basedOn w:val="Normal"/>
    <w:link w:val="StopkaZnak"/>
    <w:uiPriority w:val="99"/>
    <w:unhideWhenUsed/>
    <w:rsid w:val="00b04272"/>
    <w:pPr>
      <w:tabs>
        <w:tab w:val="clear" w:pos="708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b04272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HTMLPreformatted">
    <w:name w:val="HTML Preformatted"/>
    <w:basedOn w:val="Normal"/>
    <w:link w:val="HTML-wstpniesformatowanyZnak"/>
    <w:uiPriority w:val="99"/>
    <w:semiHidden/>
    <w:unhideWhenUsed/>
    <w:qFormat/>
    <w:rsid w:val="0079330c"/>
    <w:pPr>
      <w:tabs>
        <w:tab w:val="clear" w:pos="708"/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  <w:spacing w:lineRule="auto" w:line="240" w:before="0" w:after="0"/>
    </w:pPr>
    <w:rPr>
      <w:rFonts w:ascii="Courier New" w:hAnsi="Courier New" w:eastAsia="Times New Roman" w:cs="Courier New"/>
      <w:sz w:val="20"/>
      <w:szCs w:val="20"/>
      <w:lang w:eastAsia="pl-PL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732e45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68D0BD-05CE-401E-B6F4-108717C204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Application>LibreOffice/7.5.6.2$Windows_X86_64 LibreOffice_project/f654817fb68d6d4600d7d2f6b647e47729f55f15</Application>
  <AppVersion>15.0000</AppVersion>
  <DocSecurity>0</DocSecurity>
  <Pages>4</Pages>
  <Words>480</Words>
  <Characters>3601</Characters>
  <CharactersWithSpaces>3945</CharactersWithSpaces>
  <Paragraphs>136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2023-10-29T09:48:00Z</dcterms:created>
  <dc:creator>Anna Łukasiewicz</dc:creator>
  <dc:description/>
  <dc:language>pl-PL</dc:language>
  <cp:lastModifiedBy>Alicja Zyguła</cp:lastModifiedBy>
  <cp:lastPrinted>2019-01-23T11:10:00Z</cp:lastPrinted>
  <dcterms:modified xsi:type="dcterms:W3CDTF">2024-11-19T13:01:00Z</dcterms:modified>
  <cp:revision>84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yperlinksChanged">
    <vt:bool>0</vt:bool>
  </property>
  <property fmtid="{D5CDD505-2E9C-101B-9397-08002B2CF9AE}" pid="3" name="LinksUpToDate">
    <vt:bool>0</vt:bool>
  </property>
  <property fmtid="{D5CDD505-2E9C-101B-9397-08002B2CF9AE}" pid="4" name="ScaleCrop">
    <vt:bool>0</vt:bool>
  </property>
  <property fmtid="{D5CDD505-2E9C-101B-9397-08002B2CF9AE}" pid="5" name="ShareDoc">
    <vt:bool>0</vt:bool>
  </property>
</Properties>
</file>