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</w:t>
      </w:r>
      <w:bookmarkStart w:id="0" w:name="_GoBack"/>
      <w:bookmarkEnd w:id="0"/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Zwalczanie cyberprzestępczości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Combating cybercrime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 stopnia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hab. Małgorzata Ganczar, prof. KUL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2"/>
        <w:gridCol w:w="6979"/>
      </w:tblGrid>
      <w:tr>
        <w:trPr/>
        <w:tc>
          <w:tcPr>
            <w:tcW w:w="2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Podstawy z zakresu prawa karnego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4"/>
                <w:lang w:val="pl-PL" w:eastAsia="pl-PL" w:bidi="ar-SA"/>
              </w:rPr>
              <w:t xml:space="preserve">Założeniami przedmiotu są: przedstawienie pojęć i zagadnień z zakresu zwalczania cyberprzestępczości. Zaznajomienie z przedmiotowymi instytucjami określonymi w unijnych i krajowych aktach normatywnych.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Omówienie krajowych i międzynarodowych przepisów prawnych dotyczących zwalczania cyberprzestępczości.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8"/>
        <w:gridCol w:w="5953"/>
        <w:gridCol w:w="2161"/>
      </w:tblGrid>
      <w:tr>
        <w:trPr/>
        <w:tc>
          <w:tcPr>
            <w:tcW w:w="10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rozumie teorię i praktykę funkcjonowania instytucji bezpieczeństwa, politycznych i społecznych oraz złożoność ich wzajemnych relacji w zwalczaniu cyberprzestępczości</w:t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posiada wiedzę dotyczącą uwarunkowania bezpieczeństwa globalnego, systemów bezpieczeństwa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państwa, a także bezpieczeństwa międzynarodowego, w tym instytucji międzynarodowych w zakresie zwalczania cberprzestępczości</w:t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K_W05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umie wykorzystywać oraz prawidłowo interpretować przepisy prawne dotyczące zwalczania cyberprzestępczości, w zakresie bezpieczeństwa państwa i wymiarze międzynarodowym</w:t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jest gotów do dokonywania oceny i samooceny wiedzy w zakresie zwalczania cyberprzestępczości</w:t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K_K03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pl-PL" w:bidi="ar-SA"/>
              </w:rPr>
              <w:t>Podstawowe pojęcia i zasady dotyczących cyberprzestępczości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pl-PL" w:bidi="ar-SA"/>
              </w:rPr>
              <w:t>Ramy prawne i etyczne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pl-PL" w:bidi="ar-SA"/>
              </w:rPr>
              <w:t>Wykrywanie i przeciwdziałanie cyberprzestępczości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pl-PL" w:bidi="ar-SA"/>
              </w:rPr>
              <w:t>Umiejętność prowadzenia dochodzeń cyfrowych (digital forensics)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pl-PL" w:bidi="ar-SA"/>
              </w:rPr>
              <w:t>Ochrona infrastruktury krytycznej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pl-PL" w:bidi="ar-SA"/>
              </w:rPr>
              <w:t>Strategia zapobiegania cyberprzestępczości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pl-PL" w:bidi="ar-SA"/>
              </w:rPr>
              <w:t>Analiza zagrożeń i rozwój systemów wczesnego ostrzegania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Analiza m</w:t>
            </w: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pl-PL" w:bidi="ar-SA"/>
              </w:rPr>
              <w:t>iędzynarodowych zagrożeń i współpracy globalnej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8"/>
        <w:gridCol w:w="2696"/>
        <w:gridCol w:w="2834"/>
        <w:gridCol w:w="2583"/>
      </w:tblGrid>
      <w:tr>
        <w:trPr/>
        <w:tc>
          <w:tcPr>
            <w:tcW w:w="10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96" w:type="dxa"/>
            <w:tcBorders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Wykład konwersatoryjny, dyskusja</w:t>
            </w:r>
          </w:p>
        </w:tc>
        <w:tc>
          <w:tcPr>
            <w:tcW w:w="2834" w:type="dxa"/>
            <w:tcBorders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egzamin w postaci pisemnej</w:t>
            </w:r>
          </w:p>
        </w:tc>
        <w:tc>
          <w:tcPr>
            <w:tcW w:w="2583" w:type="dxa"/>
            <w:tcBorders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sprawdzian pisemny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96" w:type="dxa"/>
            <w:tcBorders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Wykład konwersatoryjny, dyskusja</w:t>
            </w:r>
          </w:p>
        </w:tc>
        <w:tc>
          <w:tcPr>
            <w:tcW w:w="2834" w:type="dxa"/>
            <w:tcBorders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egzamin w postaci pisemnej</w:t>
            </w:r>
          </w:p>
        </w:tc>
        <w:tc>
          <w:tcPr>
            <w:tcW w:w="2583" w:type="dxa"/>
            <w:tcBorders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sprawdzian pisemny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96" w:type="dxa"/>
            <w:tcBorders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Wykład konwersatoryjny, dyskusja</w:t>
            </w:r>
          </w:p>
        </w:tc>
        <w:tc>
          <w:tcPr>
            <w:tcW w:w="2834" w:type="dxa"/>
            <w:tcBorders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egzamin w postaci pisemnej</w:t>
            </w:r>
          </w:p>
        </w:tc>
        <w:tc>
          <w:tcPr>
            <w:tcW w:w="2583" w:type="dxa"/>
            <w:tcBorders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sprawdzian pisemny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96" w:type="dxa"/>
            <w:tcBorders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Wykład konwersatoryjny, dyskusja</w:t>
            </w:r>
          </w:p>
        </w:tc>
        <w:tc>
          <w:tcPr>
            <w:tcW w:w="2834" w:type="dxa"/>
            <w:tcBorders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egzamin w postaci pisemnej</w:t>
            </w:r>
          </w:p>
        </w:tc>
        <w:tc>
          <w:tcPr>
            <w:tcW w:w="2583" w:type="dxa"/>
            <w:tcBorders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sprawdzian pisemny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</w:t>
      </w:r>
    </w:p>
    <w:p>
      <w:pPr>
        <w:pStyle w:val="Normal"/>
        <w:spacing w:lineRule="auto" w:line="360"/>
        <w:ind w:left="360" w:hanging="0"/>
        <w:rPr/>
      </w:pPr>
      <w:r>
        <w:rPr>
          <w:b/>
        </w:rPr>
        <w:t>Wykład:</w:t>
      </w:r>
      <w:r>
        <w:rPr/>
        <w:t xml:space="preserve"> egzamin w formie testu – 30 pytań jednokrotnego wyboru, ocena pozytywna po uzyskaniu 60% poprawnych odpowiedzi, ocena 4 – 80% poprawnych odpowiedzi, ocena 5 – 90% poprawnych odpowiedzi.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agwek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 w:val="false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sz w:val="24"/>
                <w:szCs w:val="24"/>
                <w:lang w:val="pl-PL" w:bidi="ar-SA"/>
              </w:rPr>
              <w:t>Cezary Kosiński (red.), Cyberbezpieczeństwo. Zarys wykładu, Warszawa 2023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agwek1"/>
              <w:widowControl w:val="false"/>
              <w:suppressAutoHyphens w:val="true"/>
              <w:spacing w:beforeAutospacing="0" w:before="0" w:afterAutospacing="0" w:after="0"/>
              <w:jc w:val="both"/>
              <w:rPr>
                <w:rFonts w:ascii="Calibri" w:hAnsi="Calibri" w:cs="Calibri" w:asciiTheme="minorHAnsi" w:cstheme="minorHAnsi" w:hAnsiTheme="minorHAnsi"/>
                <w:b w:val="false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sz w:val="22"/>
                <w:szCs w:val="22"/>
                <w:lang w:val="pl-PL" w:bidi="ar-SA"/>
              </w:rPr>
              <w:t>Maciej Sawicki, Cyberprzestępczość, Warszawa  2013</w:t>
            </w:r>
          </w:p>
          <w:p>
            <w:pPr>
              <w:pStyle w:val="Nagwek1"/>
              <w:widowControl w:val="false"/>
              <w:suppressAutoHyphens w:val="true"/>
              <w:spacing w:beforeAutospacing="0" w:before="0" w:afterAutospacing="0" w:after="0"/>
              <w:jc w:val="both"/>
              <w:rPr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sz w:val="22"/>
                <w:szCs w:val="22"/>
                <w:lang w:val="pl-PL" w:bidi="ar-SA"/>
              </w:rPr>
              <w:t>Filip Radoniewicz, Cyberprzestępstwa przeciwko danym komputerowym i systemom informatycznym w kodeksie karnym - propozycje zmian, Warszawa 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2"/>
              </w:rPr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5dc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be0da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uiPriority w:val="9"/>
    <w:qFormat/>
    <w:rsid w:val="00be0dac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Strong">
    <w:name w:val="Strong"/>
    <w:basedOn w:val="DefaultParagraphFont"/>
    <w:uiPriority w:val="22"/>
    <w:qFormat/>
    <w:rsid w:val="00207ab0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be0dac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0A15A-9337-4E86-B723-93094B3F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LibreOffice/7.5.6.2$Windows_X86_64 LibreOffice_project/f654817fb68d6d4600d7d2f6b647e47729f55f15</Application>
  <AppVersion>15.0000</AppVersion>
  <Pages>3</Pages>
  <Words>415</Words>
  <Characters>3130</Characters>
  <CharactersWithSpaces>3440</CharactersWithSpaces>
  <Paragraphs>103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2024-12-06T10:20:00Z</dcterms:created>
  <dc:creator>Anna Łukasiewicz</dc:creator>
  <dc:description/>
  <dc:language>pl-PL</dc:language>
  <cp:lastModifiedBy>mganczar</cp:lastModifiedBy>
  <cp:lastPrinted>2019-01-23T11:10:00Z</cp:lastPrinted>
  <dcterms:modified xsi:type="dcterms:W3CDTF">2024-12-06T10:20:00Z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