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  <w:r>
        <w:rPr/>
        <w:t>2024/25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Dane podstawowe</w:t>
      </w:r>
      <w:r>
        <w:rPr>
          <w:rFonts w:eastAsia="Calibri" w:cs=""/>
          <w:b/>
          <w:kern w:val="0"/>
          <w:sz w:val="22"/>
          <w:szCs w:val="22"/>
          <w:lang w:val="pl-PL" w:eastAsia="en-US" w:bidi="ar-SA"/>
        </w:rPr>
        <w:t xml:space="preserve">                                                                                    </w:t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4"/>
        <w:gridCol w:w="4516"/>
      </w:tblGrid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Komunikowanie społeczne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Social communication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4519"/>
      </w:tblGrid>
      <w:tr>
        <w:trPr/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Monika Lewińska-Krzak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57"/>
        <w:gridCol w:w="2260"/>
        <w:gridCol w:w="2258"/>
      </w:tblGrid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845"/>
      </w:tblGrid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– zainteresowanie problematyką przedmiotu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cs="Times New Roman"/>
        </w:rPr>
      </w:pPr>
      <w:r>
        <w:rPr>
          <w:b/>
        </w:rPr>
        <w:t xml:space="preserve">Cele kształcenia dla przedmiotu 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/>
              </w:rPr>
              <w:t>C1 - zapoznanie studentów z podstawowymi definicjami i teoriami komunikowania społecznego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/>
              <w:t>C2 - ukazanie studentom specyfiki i zasad komunikacji werbalnej i niewerbalnej, funkcji i poziomów komunikacji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C3 - 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kształtowanie umiejętności obserwacji i analizy różnorodnych stylów komunikowania międzyludzkiego</w:t>
            </w:r>
          </w:p>
        </w:tc>
      </w:tr>
    </w:tbl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  <w:r>
        <w:br w:type="page"/>
      </w:r>
    </w:p>
    <w:p>
      <w:pPr>
        <w:pStyle w:val="Normal"/>
        <w:spacing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Efekty uczenia się dla przedmiotu wraz z odniesieniem do efektów kierunkowych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interdyscyplinarny charakter komunikowania łączący zagadnienia z obszaru nauk społecznych, w tym szczególnie z zakresu nauk o polityce i administracji oraz nauk o komunikacji społecznej i mediach.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rozróżnia rodzaje więzi społecznych i rządzące nimi prawidłowości komunikacyjne.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zasady komunikowania interpersonalnego i społecznego na różnych poziomach, rozpoznaje normy oraz zaburzenia i bariery komunikacyjne.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samodzielnie zdobywać i doskonalić wiedzę oraz umiejętności, a także, wykorzystując nabytą wiedzę, analizować poszczególne elementy komunikowania społecznego.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konstruować poprawne językowo wypowiedzi, wykorzystując wiedzę z zakresu teorii komunikacji społecznej. Potrafi w sposób zwięzły, zrozumiały i z użyciem odpowiedniej terminologii komunikować się, przedstawić i uzasadnić swoje stanowisko oraz dyskutować o nim.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K_U06, K_U10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umiejętność organizacji pracy własnej i samokształcenia, w tym gromadzenia informacji, przetwarzania ich, a także wykorzystywania do pracy samodzielnej i w grupie.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K_U07, K_U08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świadomość norm etycznych w komunikowaniu i jest gotów do ich przestrzegania.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jest gotów do myślenia oraz podejmowania działań w zakresie komunikowania w sposób przedsiębiorczy i prospołeczny.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right="0" w:hanging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eastAsia="Calibri" w:cs=""/>
          <w:b w:val="false"/>
          <w:bCs w:val="false"/>
          <w:kern w:val="0"/>
          <w:sz w:val="22"/>
          <w:szCs w:val="22"/>
          <w:lang w:val="pl-PL" w:eastAsia="en-US" w:bidi="ar-SA"/>
        </w:rPr>
      </w:pPr>
      <w:r>
        <w:rPr>
          <w:b/>
        </w:rPr>
        <w:t>Opis przedmiotu/ treści programowe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720" w:right="0" w:hanging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Modele i odmiany komunikowania. Typologie aktów komunikacyjnych. Środki i formy komunikowania.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Komunikacja interpersonalna w interakcjach społecznych. Osobiste style komunikacji. Komunikacja intrapersonalna (dialog wewnętrzny) jako ważny element rozwoju osobistego.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Kultura języka.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Wykluczanie za pomocą języka: mowa nienawiści.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Manipulacja, perswazja. Koncepcja komunikacji bez przemocy.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Komunikacja wewnętrzna w instytucji.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Komunikacja kryzysowa.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Media w komunikacji społecznej.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Podstawowe zasady wystąpień publicznych. Język i ciało w działaniu. Autoprezentacja i style autoprezentacyjne.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Bariery komunikacyjne oraz różnice w komunikowaniu.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Komunikacja marketingowa.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Społeczeństwo informacyjne.  Zagrożenia wynikające z rozwoju technologicznego.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eastAsia="Calibri" w:cs=""/>
          <w:b w:val="false"/>
          <w:bCs w:val="false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b w:val="false"/>
          <w:bCs w:val="false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Metody realizacji i weryfikacji efektów uczenia się</w:t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647"/>
        <w:gridCol w:w="2779"/>
        <w:gridCol w:w="2543"/>
      </w:tblGrid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 /Wykład konwersatoryjny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pisemny/zaliczenie pisemne on-line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ind w:left="1080" w:right="0" w:hanging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bCs/>
        </w:rPr>
      </w:pPr>
      <w:r>
        <w:rPr>
          <w:b/>
        </w:rPr>
        <w:t>Kryteria oceny, wagi…</w:t>
      </w:r>
    </w:p>
    <w:p>
      <w:pPr>
        <w:pStyle w:val="ListParagraph"/>
        <w:ind w:left="1080" w:right="0" w:hanging="0"/>
        <w:rPr>
          <w:bCs/>
        </w:rPr>
      </w:pPr>
      <w:r>
        <w:rPr>
          <w:bCs/>
        </w:rPr>
        <w:t>- obecność na zajęciach</w:t>
      </w:r>
    </w:p>
    <w:p>
      <w:pPr>
        <w:pStyle w:val="ListParagraph"/>
        <w:ind w:left="1080" w:right="0" w:hanging="0"/>
        <w:rPr>
          <w:bCs/>
        </w:rPr>
      </w:pPr>
      <w:r>
        <w:rPr>
          <w:bCs/>
        </w:rPr>
        <w:t xml:space="preserve">- aktywność w trakcie zajęć </w:t>
      </w:r>
    </w:p>
    <w:p>
      <w:pPr>
        <w:pStyle w:val="ListParagraph"/>
        <w:ind w:left="1080" w:right="0" w:hanging="0"/>
        <w:rPr>
          <w:bCs/>
        </w:rPr>
      </w:pPr>
      <w:r>
        <w:rPr>
          <w:bCs/>
        </w:rPr>
      </w:r>
    </w:p>
    <w:p>
      <w:pPr>
        <w:pStyle w:val="ListParagraph"/>
        <w:ind w:left="1080" w:right="0" w:hanging="0"/>
        <w:rPr>
          <w:bCs/>
        </w:rPr>
      </w:pPr>
      <w:r>
        <w:rPr>
          <w:b/>
          <w:bCs/>
        </w:rPr>
        <w:t>Ocena końcowa na podstawie egzaminu i zaliczenia końcowego oraz ww. czynników</w:t>
      </w:r>
    </w:p>
    <w:p>
      <w:pPr>
        <w:pStyle w:val="Normal"/>
        <w:rPr>
          <w:bCs/>
        </w:rPr>
      </w:pPr>
      <w:r>
        <w:rPr>
          <w:bCs/>
        </w:rPr>
      </w:r>
      <w:r>
        <w:br w:type="page"/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b/>
        </w:rPr>
        <w:t>Obciążenie pracą studenta</w:t>
      </w:r>
    </w:p>
    <w:tbl>
      <w:tblPr>
        <w:tblW w:w="906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523"/>
      </w:tblGrid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i/>
                <w:i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eastAsia="Calibri" w:cs=""/>
          <w:kern w:val="0"/>
          <w:sz w:val="22"/>
          <w:szCs w:val="22"/>
          <w:lang w:val="pl-PL" w:eastAsia="en-US" w:bidi="ar-SA"/>
        </w:rPr>
      </w:pPr>
      <w:r>
        <w:rPr>
          <w:rFonts w:eastAsia="Calibri" w:cs=""/>
          <w:kern w:val="0"/>
          <w:sz w:val="22"/>
          <w:szCs w:val="22"/>
          <w:lang w:val="pl-PL" w:eastAsia="en-US" w:bidi="ar-SA"/>
        </w:rPr>
      </w:r>
    </w:p>
    <w:p>
      <w:pPr>
        <w:pStyle w:val="ListParagraph"/>
        <w:numPr>
          <w:ilvl w:val="0"/>
          <w:numId w:val="1"/>
        </w:numPr>
        <w:ind w:left="1080" w:right="0" w:hanging="720"/>
        <w:rPr>
          <w:rFonts w:ascii="Calibri" w:hAnsi="Calibri" w:eastAsia="Calibri" w:cs="Calibri"/>
          <w:kern w:val="0"/>
          <w:sz w:val="22"/>
          <w:szCs w:val="22"/>
          <w:lang w:val="pl-PL" w:eastAsia="en-US" w:bidi="ar-SA"/>
        </w:rPr>
      </w:pPr>
      <w:r>
        <w:rPr>
          <w:b/>
        </w:rPr>
        <w:t>Literatura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- T. Goban-Klas, „Media i komunikowanie masowe. Teorie i analizy prasy, radia, telewizji i Internetu”, Wydawnictwo Naukowe PWN, Warszawa 2006.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Calibri"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cs="Calibri"/>
                <w:bCs/>
              </w:rPr>
              <w:t>Cialdini</w:t>
            </w:r>
            <w:r>
              <w:rPr>
                <w:rFonts w:cs="Calibri"/>
              </w:rPr>
              <w:t xml:space="preserve"> R.C.</w:t>
            </w:r>
            <w:r>
              <w:rPr>
                <w:rFonts w:cs="Calibri"/>
                <w:bCs/>
              </w:rPr>
              <w:t xml:space="preserve">, </w:t>
            </w:r>
            <w:r>
              <w:rPr>
                <w:rFonts w:cs="Calibri"/>
                <w:bCs/>
                <w:i/>
                <w:iCs/>
              </w:rPr>
              <w:t xml:space="preserve">Wywieranie wpływu na ludzi, </w:t>
            </w:r>
            <w:r>
              <w:rPr>
                <w:rFonts w:cs="Calibri"/>
                <w:bCs/>
              </w:rPr>
              <w:t>GWP, Gdańsk 1994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- W. Pisarek, „Wstęp do nauki o komunikowaniu”, Wydawnictwa Akademickie i Profesjonalne, Warszawa 2008.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Łukasik-Turecka A., Zmiana usytuowania radia w komunikowaniu politycznym, Wyd. KUL, Lublin 2018.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S. Orzechowski, „Komunikacja niejęzykowa a wiarygodność”, Wydawnictwo UMCS, Lublin 2007.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 xml:space="preserve">Fras J., </w:t>
            </w:r>
            <w:r>
              <w:rPr>
                <w:rFonts w:eastAsia="Calibri" w:cs="Calibri"/>
                <w:i/>
                <w:iCs/>
                <w:kern w:val="0"/>
                <w:sz w:val="22"/>
                <w:szCs w:val="22"/>
                <w:lang w:val="pl-PL" w:eastAsia="en-US" w:bidi="ar-SA"/>
              </w:rPr>
              <w:t>Podstawy identyfikacji i typologii wypowiedzi w mediach masowych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, [w:]  Kulczycki E., Wendland M., red., Komunikologia. Teoria i praktyka komunikacji, Poznań 2012</w:t>
            </w:r>
          </w:p>
        </w:tc>
      </w:tr>
    </w:tbl>
    <w:p>
      <w:pPr>
        <w:pStyle w:val="Normal"/>
        <w:spacing w:before="0" w:after="0"/>
        <w:rPr>
          <w:rFonts w:ascii="Calibri" w:hAnsi="Calibri" w:eastAsia="Calibri" w:cs="Calibri"/>
          <w:kern w:val="0"/>
          <w:sz w:val="22"/>
          <w:szCs w:val="22"/>
          <w:lang w:val="pl-PL" w:eastAsia="en-US" w:bidi="ar-SA"/>
        </w:rPr>
      </w:pPr>
      <w:r>
        <w:rPr>
          <w:rFonts w:eastAsia="Calibri" w:cs="Calibri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Calibri" w:hAnsi="Calibri" w:eastAsia="Calibri" w:cs="Calibri"/>
          <w:kern w:val="0"/>
          <w:sz w:val="22"/>
          <w:szCs w:val="22"/>
          <w:lang w:val="pl-PL" w:eastAsia="en-US" w:bidi="ar-SA"/>
        </w:rPr>
      </w:pPr>
      <w:r>
        <w:rPr>
          <w:rFonts w:eastAsia="Calibri" w:cs="Calibri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Calibri" w:hAnsi="Calibri" w:eastAsia="Calibri" w:cs="Calibri"/>
          <w:kern w:val="0"/>
          <w:sz w:val="22"/>
          <w:szCs w:val="22"/>
          <w:lang w:val="pl-PL" w:eastAsia="en-US" w:bidi="ar-SA"/>
        </w:rPr>
      </w:pPr>
      <w:r>
        <w:rPr>
          <w:b/>
        </w:rPr>
        <w:t xml:space="preserve">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Tabulatory">
    <w:name w:val="tabulatory"/>
    <w:basedOn w:val="DefaultParagraphFont"/>
    <w:qFormat/>
    <w:rPr/>
  </w:style>
  <w:style w:type="character" w:styleId="Czeinternetowe">
    <w:name w:val="Hyperlink"/>
    <w:basedOn w:val="DefaultParagraphFont"/>
    <w:rPr>
      <w:color w:val="0000FF"/>
      <w:u w:val="single"/>
    </w:rPr>
  </w:style>
  <w:style w:type="character" w:styleId="Access">
    <w:name w:val="access"/>
    <w:basedOn w:val="DefaultParagraphFont"/>
    <w:qFormat/>
    <w:rPr/>
  </w:style>
  <w:style w:type="character" w:styleId="Luchili">
    <w:name w:val="luc_hili"/>
    <w:basedOn w:val="DefaultParagraph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>
    <w:name w:val="western"/>
    <w:basedOn w:val="Normal"/>
    <w:qFormat/>
    <w:pPr>
      <w:spacing w:lineRule="atLeast" w:line="102" w:before="280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LibreOffice/7.5.6.2$Windows_X86_64 LibreOffice_project/f654817fb68d6d4600d7d2f6b647e47729f55f15</Application>
  <AppVersion>15.0000</AppVersion>
  <Pages>5</Pages>
  <Words>671</Words>
  <Characters>4707</Characters>
  <CharactersWithSpaces>5387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2021-12-03T11:23:00Z</dcterms:created>
  <dc:creator>Anna Łukasiewicz</dc:creator>
  <dc:description/>
  <dc:language>pl-PL</dc:language>
  <cp:lastModifiedBy/>
  <cp:lastPrinted>2019-01-23T11:10:00Z</cp:lastPrinted>
  <dcterms:modified xsi:type="dcterms:W3CDTF">2024-12-16T08:40:02Z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