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/>
      </w:pPr>
      <w:r>
        <w:rPr/>
        <w:t>Cykl kształcenia od roku akademickiego: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4"/>
        <w:gridCol w:w="4517"/>
      </w:tblGrid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Podstawy administracji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Introduction to Public Administration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6"/>
        <w:gridCol w:w="4525"/>
      </w:tblGrid>
      <w:tr>
        <w:trPr/>
        <w:tc>
          <w:tcPr>
            <w:tcW w:w="45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dr Dariusz Żak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posiadanie wiedzy ogólnej z zakresu prawa i nauk o państwie.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C1. Poznanie podstawowych pojęć z zakresu administracji i prawa.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C2. Przedstawienie wybranych zagadnień związanych z ustrojem i funkcjonowaniem administracji rządowej i samorządowej oraz ich rolą w systemie organizacyjnym państwa.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C3. Ukazanie roli administracji publicznej w zakresie zapewnienia potrzeb społecznych człowieka.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C4. Wyrobienie umiejętności wyszukania, analizy i interpretacji różnych źródeł prawa oraz innych dokumentów i tekstów związanych z przedmiotem zajęć.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3"/>
        <w:gridCol w:w="5831"/>
        <w:gridCol w:w="2138"/>
      </w:tblGrid>
      <w:tr>
        <w:trPr/>
        <w:tc>
          <w:tcPr>
            <w:tcW w:w="10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Zna i rozumie specyfikę nauk o polityce i administracji oraz ich relację do innych nauk np. prawnych w ramach dziedziny nauk społecznych. 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K_W01</w:t>
            </w:r>
          </w:p>
        </w:tc>
      </w:tr>
      <w:tr>
        <w:trPr/>
        <w:tc>
          <w:tcPr>
            <w:tcW w:w="10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Posiada wiedzę dotyczącą administracji publicznej, w tym odnoszącą się do prowadzenia badań nad administracyjnoprawnymi aspektami bezpieczeństwa narodowego przy pomocy odpowiednich metod, technik </w:t>
              <w:br/>
              <w:t xml:space="preserve">i narzędzi badawczych. 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K_W03</w:t>
            </w:r>
          </w:p>
        </w:tc>
      </w:tr>
      <w:tr>
        <w:trPr/>
        <w:tc>
          <w:tcPr>
            <w:tcW w:w="10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Ma wiedzę na temat organizacji i funkcjonowania administracji publicznej, o systemach i instytucjach politycznych </w:t>
              <w:br/>
              <w:t xml:space="preserve">i społecznych oraz o ich wzajemnych relacjach. 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K_W04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Potrafi wykorzystywać oraz prawidłowo interpretować przepisy prawne dotyczące administracji publicznej i bezpieczeństwa narodowego, uwzględniając członkostwo Polski w Unii Europejskiej i instytucjach międzynarodowych. 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K_U04</w:t>
            </w:r>
          </w:p>
        </w:tc>
      </w:tr>
      <w:tr>
        <w:trPr/>
        <w:tc>
          <w:tcPr>
            <w:tcW w:w="10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Potrafi samodzielnie zdobywać i doskonalić wiedzę i umiejętności związane z organizacją i funkcjonowaniem administracji publicznej oraz rozumie potrzebę stałego dokształcania się i podnoszenia własnych kwalifikacji zawodowych. 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K_U09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Jest gotów do przestrzegania zasad etyki zawodowej w ramach administracji publicznej oraz ich stosowania w działaniach mających na celu zapewnienie najwyższych standardów bezpieczeństwa. 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K_K01</w:t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Państwo, zasady ustroju RP.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Źródła prawa w Polsce, źródła prawa administracyjnego.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Calibri" w:cs=""/>
                <w:bCs/>
                <w:spacing w:val="-6"/>
                <w:kern w:val="0"/>
                <w:sz w:val="22"/>
                <w:szCs w:val="22"/>
                <w:lang w:val="pl-PL" w:eastAsia="en-US" w:bidi="ar-SA"/>
              </w:rPr>
              <w:t>Stosunek administracyjnoprawny (pojęcie, cechy, elementy stosunku administracyjnoprawnego,</w:t>
            </w: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 rodzaje, sposoby nawiązania i ustania).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Formy działania administracji publicznej (m.in. rodzaje aktów administracyjnych, uznanie administracyjne).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Zasada trójpodziału władzy w Polsce. Administracja naczelna.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Administracja rządowa terenowa (zespolona i niezespolona; status wojewody, wojewódzka administracja zespolona, terenowe organy rządowej administracji niezespolonej).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Stany nadzwyczajne.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Samorząd terytorialny.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Sądowa i pozasądowa kontrola administracji.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Służba publiczna w Polsce.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Administracja UE. Źródła prawa UE. Kodeks dobrej praktyki administracyjnej.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Organizacja i zadania wybranych instytucji, służb, formacji (cz. I).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Organizacja i zadania wybranych instytucji, służb, formacji (cz. II).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Organizacja i zadania wybranych instytucji, służb, formacji (cz. III).</w:t>
            </w:r>
          </w:p>
        </w:tc>
      </w:tr>
    </w:tbl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2646"/>
        <w:gridCol w:w="2780"/>
        <w:gridCol w:w="2543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6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Praca z tekstem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Wykład konwersatoryjny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Wypowiedź ustna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Kolokwium pisemne</w:t>
            </w:r>
          </w:p>
        </w:tc>
        <w:tc>
          <w:tcPr>
            <w:tcW w:w="2543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Karta oceny aktywności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(dyskusja, wypowiedź ustna indywidualna)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Uzupełnione i ocenione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kolokwium pisemne</w:t>
            </w:r>
          </w:p>
        </w:tc>
      </w:tr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z tekstem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konwersatoryjny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Wypowiedź ustna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Kolokwium pisemne</w:t>
            </w:r>
          </w:p>
        </w:tc>
        <w:tc>
          <w:tcPr>
            <w:tcW w:w="2543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Karta oceny aktywności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(dyskusja, wypowiedź ustna indywidualna)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Uzupełnione i ocenione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kolokwium pisemne</w:t>
            </w:r>
          </w:p>
        </w:tc>
      </w:tr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26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z tekstem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konwersatoryjny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Studium przypadku </w:t>
              <w:br/>
              <w:t xml:space="preserve">(case study) 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Wypowiedź ustna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Kolokwium pisemne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Prezentacja (referat) </w:t>
            </w:r>
          </w:p>
        </w:tc>
        <w:tc>
          <w:tcPr>
            <w:tcW w:w="2543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Karta oceny aktywności oraz prezentacji (referat),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(dyskusja, wypowiedź ustna indywidualna)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Uzupełnione i ocenione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kolokwium pisemne</w:t>
            </w:r>
            <w:r>
              <w:rPr>
                <w:rFonts w:eastAsia="Calibri" w:cs=""/>
                <w:kern w:val="0"/>
                <w:sz w:val="23"/>
                <w:szCs w:val="23"/>
                <w:lang w:val="pl-PL" w:eastAsia="en-US" w:bidi="ar-SA"/>
              </w:rPr>
              <w:t xml:space="preserve"> 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Analiza tekstu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Wypowiedź ustna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Kolokwium pisemne</w:t>
            </w:r>
          </w:p>
        </w:tc>
        <w:tc>
          <w:tcPr>
            <w:tcW w:w="25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Karta oceny aktywności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(dyskusja, wypowiedź ustna indywidualna)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Uzupełnione i ocenione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kolokwium pisemne</w:t>
            </w:r>
          </w:p>
        </w:tc>
      </w:tr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 (case study)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 (referat)</w:t>
            </w:r>
          </w:p>
        </w:tc>
        <w:tc>
          <w:tcPr>
            <w:tcW w:w="25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Karta oceny prezentacji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(referatu)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w grupach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Wypowiedź ustna</w:t>
            </w:r>
          </w:p>
        </w:tc>
        <w:tc>
          <w:tcPr>
            <w:tcW w:w="25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Karta oceny aktywności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(praca w grupie, dyskusja, wypowiedź ustna indywidualna)</w:t>
            </w:r>
          </w:p>
        </w:tc>
      </w:tr>
    </w:tbl>
    <w:p>
      <w:pPr>
        <w:pStyle w:val="Normal"/>
        <w:spacing w:before="0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b/>
        </w:rPr>
      </w:pPr>
      <w:r>
        <w:rPr>
          <w:b/>
        </w:rPr>
        <w:t>Kryteria oceny, wagi…</w:t>
      </w:r>
    </w:p>
    <w:p>
      <w:pPr>
        <w:pStyle w:val="Default"/>
        <w:spacing w:lineRule="auto" w:line="3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Na ocenę końcową składają się punkty uzyskane przez Studenta z: </w:t>
      </w:r>
    </w:p>
    <w:p>
      <w:pPr>
        <w:pStyle w:val="Default"/>
        <w:spacing w:lineRule="auto" w:line="300"/>
        <w:rPr>
          <w:rFonts w:ascii="Calibri" w:hAnsi="Calibri" w:cs="Calibri"/>
          <w:sz w:val="10"/>
          <w:szCs w:val="10"/>
        </w:rPr>
      </w:pPr>
      <w:r>
        <w:rPr>
          <w:rFonts w:cs="Calibri" w:ascii="Calibri" w:hAnsi="Calibri"/>
          <w:sz w:val="10"/>
          <w:szCs w:val="10"/>
        </w:rPr>
      </w:r>
    </w:p>
    <w:p>
      <w:pPr>
        <w:pStyle w:val="ListParagraph"/>
        <w:numPr>
          <w:ilvl w:val="0"/>
          <w:numId w:val="3"/>
        </w:numPr>
        <w:spacing w:lineRule="auto" w:line="300" w:before="0" w:after="0"/>
        <w:contextualSpacing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Kolokwium (test jednokrotnego wyboru bez punktów ujemnych): 20 pkt - (kolokwium uznaje się za zaliczone od 10 punktów).</w:t>
      </w:r>
    </w:p>
    <w:p>
      <w:pPr>
        <w:pStyle w:val="ListParagraph"/>
        <w:numPr>
          <w:ilvl w:val="0"/>
          <w:numId w:val="3"/>
        </w:numPr>
        <w:spacing w:lineRule="auto" w:line="300" w:before="0" w:after="0"/>
        <w:contextualSpacing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Aktywności na zajęciach: 5 pkt.</w:t>
      </w:r>
    </w:p>
    <w:p>
      <w:pPr>
        <w:pStyle w:val="ListParagraph"/>
        <w:numPr>
          <w:ilvl w:val="0"/>
          <w:numId w:val="3"/>
        </w:numPr>
        <w:spacing w:lineRule="auto" w:line="300" w:before="0" w:after="0"/>
        <w:contextualSpacing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Prezentacji (referatu): 5 pkt. </w:t>
      </w:r>
    </w:p>
    <w:p>
      <w:pPr>
        <w:pStyle w:val="Normal"/>
        <w:spacing w:lineRule="auto" w:line="300" w:before="0" w:after="0"/>
        <w:rPr>
          <w:rFonts w:ascii="Calibri" w:hAnsi="Calibri" w:cs="Calibri"/>
          <w:color w:val="000000"/>
          <w:sz w:val="10"/>
          <w:szCs w:val="10"/>
        </w:rPr>
      </w:pPr>
      <w:r>
        <w:rPr>
          <w:rFonts w:cs="Calibri"/>
          <w:color w:val="000000"/>
          <w:sz w:val="10"/>
          <w:szCs w:val="10"/>
        </w:rPr>
      </w:r>
    </w:p>
    <w:p>
      <w:pPr>
        <w:pStyle w:val="Normal"/>
        <w:spacing w:lineRule="auto" w:line="30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Punktacja i ocena końcowa: </w:t>
      </w:r>
    </w:p>
    <w:p>
      <w:pPr>
        <w:pStyle w:val="Normal"/>
        <w:spacing w:lineRule="auto" w:line="300" w:before="0" w:after="0"/>
        <w:rPr>
          <w:rFonts w:ascii="Calibri" w:hAnsi="Calibri" w:cs="Calibri"/>
          <w:color w:val="000000"/>
          <w:sz w:val="10"/>
          <w:szCs w:val="10"/>
        </w:rPr>
      </w:pPr>
      <w:r>
        <w:rPr>
          <w:rFonts w:cs="Calibri"/>
          <w:color w:val="000000"/>
          <w:sz w:val="10"/>
          <w:szCs w:val="10"/>
        </w:rPr>
      </w:r>
    </w:p>
    <w:p>
      <w:pPr>
        <w:pStyle w:val="Normal"/>
        <w:spacing w:lineRule="auto" w:line="300" w:before="0" w:after="0"/>
        <w:ind w:left="708" w:hanging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30-27: 5,0 (bdb); </w:t>
      </w:r>
    </w:p>
    <w:p>
      <w:pPr>
        <w:pStyle w:val="Normal"/>
        <w:spacing w:lineRule="auto" w:line="300" w:before="0" w:after="0"/>
        <w:ind w:left="708" w:hanging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26-24: 4,5 (db+); </w:t>
      </w:r>
    </w:p>
    <w:p>
      <w:pPr>
        <w:pStyle w:val="Normal"/>
        <w:spacing w:lineRule="auto" w:line="300" w:before="0" w:after="0"/>
        <w:ind w:left="708" w:hanging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23-21: 4,0 (db); </w:t>
      </w:r>
    </w:p>
    <w:p>
      <w:pPr>
        <w:pStyle w:val="Normal"/>
        <w:spacing w:lineRule="auto" w:line="300" w:before="0" w:after="0"/>
        <w:ind w:left="708" w:hanging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20-18: 3,5 (dst+); </w:t>
      </w:r>
    </w:p>
    <w:p>
      <w:pPr>
        <w:pStyle w:val="Normal"/>
        <w:spacing w:lineRule="auto" w:line="300" w:before="0" w:after="0"/>
        <w:ind w:left="708" w:hanging="0"/>
        <w:rPr>
          <w:b/>
        </w:rPr>
      </w:pPr>
      <w:r>
        <w:rPr>
          <w:rFonts w:cs="Calibri"/>
          <w:color w:val="000000"/>
        </w:rPr>
        <w:t>17-15: 3,0 (dst).</w:t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L. Garlicki,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Polskie prawo konstytucyjne. Zarys wykładu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</w:t>
            </w:r>
            <w:r>
              <w:rPr>
                <w:rFonts w:eastAsia="Times New Roman" w:cs="Times New Roman"/>
                <w:spacing w:val="-4"/>
                <w:kern w:val="0"/>
                <w:sz w:val="22"/>
                <w:szCs w:val="24"/>
                <w:lang w:val="pl-PL" w:eastAsia="pl-PL" w:bidi="ar-SA"/>
              </w:rPr>
              <w:t>Wolters Kluwer, Warszawa 2024.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spacing w:val="-4"/>
                <w:szCs w:val="24"/>
                <w:lang w:eastAsia="pl-PL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4"/>
                <w:lang w:val="pl-PL" w:eastAsia="pl-PL" w:bidi="ar-SA"/>
              </w:rPr>
              <w:t xml:space="preserve">M. Granat,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Prawo konstytucyjne</w:t>
            </w:r>
            <w:r>
              <w:rPr>
                <w:rFonts w:eastAsia="Times New Roman" w:cs="Times New Roman"/>
                <w:spacing w:val="-4"/>
                <w:kern w:val="0"/>
                <w:sz w:val="22"/>
                <w:szCs w:val="24"/>
                <w:lang w:val="pl-PL" w:eastAsia="pl-PL" w:bidi="ar-SA"/>
              </w:rPr>
              <w:t>, Wolters Kluwer, Warszawa 2024.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spacing w:val="-4"/>
                <w:szCs w:val="24"/>
                <w:lang w:eastAsia="pl-PL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4"/>
                <w:lang w:val="pl-PL" w:eastAsia="pl-PL" w:bidi="ar-SA"/>
              </w:rPr>
              <w:t xml:space="preserve">E. Ura, </w:t>
            </w:r>
            <w:r>
              <w:rPr>
                <w:rFonts w:eastAsia="Times New Roman" w:cs="Times New Roman"/>
                <w:i/>
                <w:iCs/>
                <w:spacing w:val="-4"/>
                <w:kern w:val="0"/>
                <w:sz w:val="22"/>
                <w:szCs w:val="24"/>
                <w:lang w:val="pl-PL" w:eastAsia="pl-PL" w:bidi="ar-SA"/>
              </w:rPr>
              <w:t>Prawo administracyjne</w:t>
            </w:r>
            <w:r>
              <w:rPr>
                <w:rFonts w:eastAsia="Times New Roman" w:cs="Times New Roman"/>
                <w:spacing w:val="-4"/>
                <w:kern w:val="0"/>
                <w:sz w:val="22"/>
                <w:szCs w:val="24"/>
                <w:lang w:val="pl-PL" w:eastAsia="pl-PL" w:bidi="ar-SA"/>
              </w:rPr>
              <w:t>, Wolters Kluwer, Warszawa 2024.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spacing w:val="-4"/>
                <w:szCs w:val="24"/>
                <w:lang w:eastAsia="pl-PL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4"/>
                <w:lang w:val="pl-PL" w:eastAsia="pl-PL" w:bidi="ar-SA"/>
              </w:rPr>
              <w:t xml:space="preserve">W. Góralczyk, </w:t>
            </w:r>
            <w:r>
              <w:rPr>
                <w:rFonts w:eastAsia="Times New Roman" w:cs="Times New Roman"/>
                <w:i/>
                <w:iCs/>
                <w:spacing w:val="-4"/>
                <w:kern w:val="0"/>
                <w:sz w:val="22"/>
                <w:szCs w:val="24"/>
                <w:lang w:val="pl-PL" w:eastAsia="pl-PL" w:bidi="ar-SA"/>
              </w:rPr>
              <w:t>Podstawy prawa administracyjnego</w:t>
            </w:r>
            <w:r>
              <w:rPr>
                <w:rFonts w:eastAsia="Times New Roman" w:cs="Times New Roman"/>
                <w:spacing w:val="-4"/>
                <w:kern w:val="0"/>
                <w:sz w:val="22"/>
                <w:szCs w:val="24"/>
                <w:lang w:val="pl-PL" w:eastAsia="pl-PL" w:bidi="ar-SA"/>
              </w:rPr>
              <w:t>, Wolters Kluwer, Warszawa 2024.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spacing w:val="-4"/>
                <w:szCs w:val="24"/>
                <w:lang w:eastAsia="pl-PL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M. Zubik,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Prawo konstytucyjne. Wybór aktów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</w:t>
            </w:r>
            <w:r>
              <w:rPr>
                <w:rFonts w:eastAsia="Times New Roman" w:cs="Times New Roman"/>
                <w:spacing w:val="-4"/>
                <w:kern w:val="0"/>
                <w:sz w:val="22"/>
                <w:szCs w:val="24"/>
                <w:lang w:val="pl-PL" w:eastAsia="pl-PL" w:bidi="ar-SA"/>
              </w:rPr>
              <w:t>Wolters Kluwer, Warszawa 2024.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spacing w:val="-4"/>
                <w:szCs w:val="24"/>
                <w:lang w:eastAsia="pl-PL"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M. Możdżeń-Marcinkowski,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Wstęp do prawa administracyjnego ogólnego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</w:t>
            </w: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Times New Roman" w:cs="Times New Roman"/>
                <w:spacing w:val="-4"/>
                <w:kern w:val="0"/>
                <w:sz w:val="22"/>
                <w:szCs w:val="24"/>
                <w:lang w:val="pl-PL" w:eastAsia="pl-PL" w:bidi="ar-SA"/>
              </w:rPr>
              <w:t>Wolters Kluwer, Warszawa 2023.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J. Matusiak, A. Narożniak,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Materialne prawo administracyjne + testy online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</w:t>
            </w: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C.H. Beck, Warszawa 2024. 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c02b31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54f06"/>
    <w:rPr>
      <w:color w:val="605E5C"/>
      <w:shd w:fill="E1DFDD" w:val="clear"/>
    </w:rPr>
  </w:style>
  <w:style w:type="character" w:styleId="Nagwek1Znak" w:customStyle="1">
    <w:name w:val="Nagłówek 1 Znak"/>
    <w:basedOn w:val="DefaultParagraphFont"/>
    <w:uiPriority w:val="9"/>
    <w:qFormat/>
    <w:rsid w:val="00c02b3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Application>LibreOffice/7.5.6.2$Windows_X86_64 LibreOffice_project/f654817fb68d6d4600d7d2f6b647e47729f55f15</Application>
  <AppVersion>15.0000</AppVersion>
  <Pages>5</Pages>
  <Words>777</Words>
  <Characters>5435</Characters>
  <CharactersWithSpaces>6032</CharactersWithSpaces>
  <Paragraphs>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2021-12-03T12:23:00Z</dcterms:created>
  <dc:creator>Anna Łukasiewicz</dc:creator>
  <dc:description/>
  <dc:language>pl-PL</dc:language>
  <cp:lastModifiedBy>Dariusz Żak</cp:lastModifiedBy>
  <cp:lastPrinted>2019-01-23T11:10:00Z</cp:lastPrinted>
  <dcterms:modified xsi:type="dcterms:W3CDTF">2024-12-06T09:53:00Z</dcterms:modified>
  <cp:revision>128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