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Podstawy strzelectwa sportowego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Fundamentals of shooting sports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Bezpieczeństwo Narodowe  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stopnia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Mgr  Robert Polak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15 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4"/>
        <w:gridCol w:w="6847"/>
      </w:tblGrid>
      <w:tr>
        <w:trPr/>
        <w:tc>
          <w:tcPr>
            <w:tcW w:w="2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Zainteresowanie tematyką zajęć, znajomość ogólnych zasad BHP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color w:val="06022E"/>
                <w:kern w:val="0"/>
                <w:sz w:val="22"/>
                <w:szCs w:val="22"/>
                <w:lang w:val="pl-PL" w:eastAsia="en-US" w:bidi="ar-SA"/>
              </w:rPr>
              <w:t>Przekazanie studentom wiedzy i umiejętności praktycznych z zakresu strzelectwa sportowego.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color w:val="06022E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6022E"/>
                <w:kern w:val="0"/>
                <w:sz w:val="22"/>
                <w:szCs w:val="22"/>
                <w:lang w:val="pl-PL" w:eastAsia="en-US" w:bidi="ar-SA"/>
              </w:rPr>
              <w:t>Nabycie wiedzy dotyczącej zasad, przepisów i regulaminów obowiązujących podczas zawodów sportowych oraz treningów.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uwarunkowania bezpieczeństwa związane z wykorzystaniem broni, zasady bezpieczeństwa obowiązujące podczas posługiwania się bronią strzelecką w trakcie strzelań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zna i rozumie zasady etyczne, które obowiązują przy wykorzystaniu broni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prawidłowo oceniać zagrożenia dla bezpieczeństwa oraz identyfikować ich przyczyny związane z wykorzystaniem broni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pozyskiwać, przechowywać oraz przetwarzać informacje z wykorzystaniem nowoczesnych technologii informacyjnych w zakresie wykorzystania broni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K_U07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potrafi planować pracę zespołu z zachowaniem zasad bezpieczeństwa i obsługi broni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przestrzegania zasad etyki w zakresie wykorzystania broni i jej praktycznego zastosowania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Podstawowe umiejętności bezpiecznego posługiwania się bronią palną w oparciu i zasady B.L.O.S. 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Klasyfikacja środków treningowych w strzelectwie sportowym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Strzelectwo terenowe, metodyczne wyjaśnienie zagadnienia.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Nauka strzelania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BHP pola walki- pokaz i metodyka zachowań podczas akcji.Technika strzelania i praktyka ze strzelania z broni kulowej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Strzelania terenowe typu FT, strzelectwo kulowe długodystansowe i czarnoprochowe.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1"/>
        <w:gridCol w:w="2542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Praca z tekstem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/>
        <w:t>Zaliczenie oparto o takie składniki jak:</w:t>
      </w:r>
    </w:p>
    <w:p>
      <w:pPr>
        <w:pStyle w:val="ListParagraph"/>
        <w:numPr>
          <w:ilvl w:val="0"/>
          <w:numId w:val="2"/>
        </w:numPr>
        <w:rPr/>
      </w:pPr>
      <w:r>
        <w:rPr/>
        <w:t>Aktywność na zajęciach</w:t>
      </w:r>
    </w:p>
    <w:p>
      <w:pPr>
        <w:pStyle w:val="ListParagraph"/>
        <w:numPr>
          <w:ilvl w:val="0"/>
          <w:numId w:val="2"/>
        </w:numPr>
        <w:rPr/>
      </w:pPr>
      <w:r>
        <w:rPr/>
        <w:t>Odpowiedzi ustne dotyczące zagadnień poruszanych na zajęciach</w:t>
      </w:r>
    </w:p>
    <w:p>
      <w:pPr>
        <w:pStyle w:val="ListParagraph"/>
        <w:numPr>
          <w:ilvl w:val="0"/>
          <w:numId w:val="2"/>
        </w:numPr>
        <w:rPr/>
      </w:pPr>
      <w:r>
        <w:rPr/>
        <w:t>Czynne uczestnictwo w zajęciach praktycznych</w:t>
      </w:r>
    </w:p>
    <w:p>
      <w:pPr>
        <w:pStyle w:val="ListParagraph"/>
        <w:numPr>
          <w:ilvl w:val="0"/>
          <w:numId w:val="2"/>
        </w:numPr>
        <w:rPr/>
      </w:pPr>
      <w:r>
        <w:rPr/>
        <w:t>Pozytywna ocena z kolokwium końcowego</w:t>
      </w:r>
    </w:p>
    <w:p>
      <w:pPr>
        <w:pStyle w:val="ListParagraph"/>
        <w:ind w:left="0" w:hanging="0"/>
        <w:rPr/>
      </w:pPr>
      <w:r>
        <w:rPr/>
        <w:t xml:space="preserve">Ponadto: </w:t>
      </w:r>
    </w:p>
    <w:p>
      <w:pPr>
        <w:pStyle w:val="ListParagraph"/>
        <w:ind w:left="0" w:hanging="0"/>
        <w:rPr>
          <w:b/>
        </w:rPr>
      </w:pPr>
      <w:r>
        <w:rPr/>
        <w:t xml:space="preserve">Student nie osiągnął założonego efektu (ocena 2,0), </w:t>
      </w:r>
    </w:p>
    <w:p>
      <w:pPr>
        <w:pStyle w:val="ListParagraph"/>
        <w:ind w:left="0" w:hanging="0"/>
        <w:rPr>
          <w:b/>
        </w:rPr>
      </w:pPr>
      <w:r>
        <w:rPr/>
        <w:t>Student wykazuje dostateczny (3,0) stopień wiedzy/umiejętności.</w:t>
      </w:r>
    </w:p>
    <w:p>
      <w:pPr>
        <w:pStyle w:val="ListParagraph"/>
        <w:ind w:left="0" w:hanging="0"/>
        <w:rPr>
          <w:b/>
        </w:rPr>
      </w:pPr>
      <w:r>
        <w:rPr/>
        <w:t xml:space="preserve">Student wykazuje plus dostateczny (3,5) stopień wiedzy/umiejętności, </w:t>
      </w:r>
    </w:p>
    <w:p>
      <w:pPr>
        <w:pStyle w:val="ListParagraph"/>
        <w:ind w:left="0" w:hanging="0"/>
        <w:rPr>
          <w:b/>
        </w:rPr>
      </w:pPr>
      <w:r>
        <w:rPr/>
        <w:t xml:space="preserve">Student wykazuje dobry stopień (4,0) wiedzy/umiejętności, </w:t>
      </w:r>
    </w:p>
    <w:p>
      <w:pPr>
        <w:pStyle w:val="ListParagraph"/>
        <w:ind w:left="0" w:hanging="0"/>
        <w:rPr>
          <w:b/>
        </w:rPr>
      </w:pPr>
      <w:r>
        <w:rPr/>
        <w:t xml:space="preserve">Student wykazuje plus dobry stopień (4,5) wiedzy/umiejętności, </w:t>
      </w:r>
    </w:p>
    <w:p>
      <w:pPr>
        <w:pStyle w:val="ListParagraph"/>
        <w:ind w:left="0" w:hanging="0"/>
        <w:rPr/>
      </w:pPr>
      <w:r>
        <w:rPr/>
        <w:t>Student wykazuje bardzo dobry stopień (5,0).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>
          <w:b/>
        </w:rPr>
      </w:pPr>
      <w:r>
        <w:rPr>
          <w:b/>
        </w:rPr>
      </w:r>
    </w:p>
    <w:p>
      <w:pPr>
        <w:pStyle w:val="ListParagraph"/>
        <w:ind w:left="0" w:hanging="0"/>
        <w:rPr>
          <w:b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VII. </w:t>
      </w:r>
      <w:r>
        <w:rPr/>
        <w:t xml:space="preserve">         </w:t>
      </w: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15 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0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ind w:left="340" w:hanging="0"/>
        <w:rPr>
          <w:b/>
        </w:rPr>
      </w:pPr>
      <w:r>
        <w:rPr>
          <w:b/>
        </w:rPr>
        <w:t>VIII.        Bibliografia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Haber Z. Kijowski A. ¬– Rejestr środków treningowych w strzelectwie sportowym . Wrocław, 2003.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Kijowski A. Wodnik J. Łysiak M. – Koncepcja organizacji procesu szkolenia na etapie wstępnym w strzelectwie sportowym. [w] K.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Kurzawski [red] Nowoczesne rozwiązania szkoleniowe. Zeszyt nr 1, 2, 3. Wrocław, 2004.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Naglak Z. – Metodyka trenowania sportowca. AWF Wrocław, 1999.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Czerwiński M. - Broń palna, warszawa, 2008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uzupełniająca</w:t>
            </w:r>
          </w:p>
        </w:tc>
      </w:tr>
      <w:tr>
        <w:trPr>
          <w:trHeight w:val="501" w:hRule="atLeast"/>
        </w:trPr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Ustawa o broni i amunicji z dnia 21 maja 1999 (Dz. U. Nr 53 poz. 549),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LibreOffice/7.5.6.2$Windows_X86_64 LibreOffice_project/f654817fb68d6d4600d7d2f6b647e47729f55f15</Application>
  <AppVersion>15.0000</AppVersion>
  <Pages>4</Pages>
  <Words>551</Words>
  <Characters>3840</Characters>
  <CharactersWithSpaces>4284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2024-12-15T15:39:00Z</dcterms:created>
  <dc:creator>Anna Łukasiewicz</dc:creator>
  <dc:description/>
  <dc:language>pl-PL</dc:language>
  <cp:lastModifiedBy>Grzegorz Tutak</cp:lastModifiedBy>
  <cp:lastPrinted>2019-01-23T11:10:00Z</cp:lastPrinted>
  <dcterms:modified xsi:type="dcterms:W3CDTF">2024-12-15T16:03:00Z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