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10"/>
        <w:gridCol w:w="452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Podstawy teorii bezpieczeństwa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Theoretical bases of security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  <w:tr>
        <w:trPr/>
        <w:tc>
          <w:tcPr>
            <w:tcW w:w="4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Wojciech Gizicki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73"/>
        <w:gridCol w:w="2257"/>
        <w:gridCol w:w="2261"/>
        <w:gridCol w:w="2258"/>
      </w:tblGrid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C1 - Zapoznanie z głównymi zagadnieniami dotyczącymi teorii bezpieczeństwa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Przekazanie wiedzy nt. podstawowych pojęć związanych z bezpieczeństwem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Ukierunkowanie na potrzebę samodzielnego, krytycznego analizowania zjawisk w obszarze wielowymiarowego bezpieczeństwa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Zna i definiuje podstawowe zjawiska w obszarze bezpieczeństwa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Rozróżnia i rozumie różne struktury i instytucje bezpieczeństwa oraz ich wzajemne relacje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analizować przyczyny i skutki podstawowych zjawisk w obszarze bezpieczeństwa 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adoptować założenia teoretyczne do współcześnie występujących zjawisk w obszarze bezpieczeństwa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Jest gotów do angażowania się w działania wspierające procesy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Podstawowe pojęcia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Filozofia a bezpieczeństwo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Nauki społeczne a bezpieczeństwo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Przedmiotowy i podmiotowy charakter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Wybrane aspekty podstawowych modeli bezpieczeństwa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Wyzwania współczesnego bezpieczeństwa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"/>
        <w:gridCol w:w="2898"/>
        <w:gridCol w:w="2641"/>
        <w:gridCol w:w="2450"/>
      </w:tblGrid>
      <w:tr>
        <w:trPr/>
        <w:tc>
          <w:tcPr>
            <w:tcW w:w="1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konwencjonalny/problemowy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720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</w:t>
      </w:r>
      <w:r>
        <w:rPr>
          <w:b/>
        </w:rPr>
        <w:t>i</w:t>
      </w:r>
    </w:p>
    <w:p>
      <w:pPr>
        <w:pStyle w:val="Normal"/>
        <w:spacing w:lineRule="auto" w:line="240" w:before="0" w:after="86"/>
        <w:jc w:val="both"/>
        <w:rPr/>
      </w:pPr>
      <w:r>
        <w:rPr>
          <w:bCs/>
        </w:rPr>
        <w:t xml:space="preserve">Systematyczna obecność na zajęciach. Zaliczenie lektur. Udział w wydarzeniach (konferencje, seminaria) związanych z tematyką zajęć. Egzamin w formie ustnej.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Ocena niedostateczna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(W)- Brak wiedzy w </w:t>
      </w:r>
      <w:r>
        <w:rPr>
          <w:bCs/>
        </w:rPr>
        <w:t xml:space="preserve">przedmiotowym </w:t>
      </w:r>
      <w:r>
        <w:rPr>
          <w:bCs/>
        </w:rPr>
        <w:t xml:space="preserve">zakresie.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(U, </w:t>
      </w:r>
      <w:r>
        <w:rPr>
          <w:bCs/>
        </w:rPr>
        <w:t>K</w:t>
      </w:r>
      <w:r>
        <w:rPr>
          <w:bCs/>
        </w:rPr>
        <w:t xml:space="preserve">)- Brak umiejętności samodzielnego zdobywania i pogłębiania wiedzy pod kierunkiem wykładowcy.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Ocena dostateczna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(W)- </w:t>
      </w:r>
      <w:r>
        <w:rPr>
          <w:rFonts w:eastAsia="Calibri" w:cs="" w:cstheme="minorBidi" w:eastAsiaTheme="minorHAnsi"/>
          <w:bCs/>
          <w:color w:val="auto"/>
          <w:kern w:val="0"/>
          <w:sz w:val="22"/>
          <w:szCs w:val="22"/>
          <w:lang w:val="pl-PL" w:eastAsia="en-US" w:bidi="ar-SA"/>
        </w:rPr>
        <w:t>Podstawowa</w:t>
      </w:r>
      <w:r>
        <w:rPr>
          <w:bCs/>
        </w:rPr>
        <w:t xml:space="preserve"> wiedza w </w:t>
      </w:r>
      <w:r>
        <w:rPr>
          <w:bCs/>
        </w:rPr>
        <w:t xml:space="preserve">przedmiotowym </w:t>
      </w:r>
      <w:r>
        <w:rPr>
          <w:bCs/>
        </w:rPr>
        <w:t xml:space="preserve">zakresie.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(U, </w:t>
      </w:r>
      <w:r>
        <w:rPr>
          <w:bCs/>
        </w:rPr>
        <w:t>K</w:t>
      </w:r>
      <w:r>
        <w:rPr>
          <w:bCs/>
        </w:rPr>
        <w:t xml:space="preserve">)- </w:t>
      </w:r>
      <w:r>
        <w:rPr>
          <w:rFonts w:eastAsia="Calibri" w:cs="" w:cstheme="minorBidi" w:eastAsiaTheme="minorHAnsi"/>
          <w:bCs/>
          <w:color w:val="auto"/>
          <w:kern w:val="0"/>
          <w:sz w:val="22"/>
          <w:szCs w:val="22"/>
          <w:lang w:val="pl-PL" w:eastAsia="en-US" w:bidi="ar-SA"/>
        </w:rPr>
        <w:t>Podstawowa</w:t>
      </w:r>
      <w:r>
        <w:rPr>
          <w:bCs/>
        </w:rPr>
        <w:t xml:space="preserve"> umiejętność samodzielnego zdobywania i pogłębiania wiedzy pod kierunkiem wykładowcy.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Ocena dobra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(W)- </w:t>
      </w:r>
      <w:r>
        <w:rPr>
          <w:rFonts w:eastAsia="Calibri" w:cs="" w:cstheme="minorBidi" w:eastAsiaTheme="minorHAnsi"/>
          <w:bCs/>
          <w:color w:val="auto"/>
          <w:kern w:val="0"/>
          <w:sz w:val="22"/>
          <w:szCs w:val="22"/>
          <w:lang w:val="pl-PL" w:eastAsia="en-US" w:bidi="ar-SA"/>
        </w:rPr>
        <w:t>Poszerzona</w:t>
      </w:r>
      <w:r>
        <w:rPr>
          <w:bCs/>
        </w:rPr>
        <w:t xml:space="preserve"> wiedza w </w:t>
      </w:r>
      <w:r>
        <w:rPr>
          <w:bCs/>
        </w:rPr>
        <w:t xml:space="preserve">przedmiotowym </w:t>
      </w:r>
      <w:r>
        <w:rPr>
          <w:bCs/>
        </w:rPr>
        <w:t>zakresi</w:t>
      </w:r>
      <w:r>
        <w:rPr>
          <w:bCs/>
        </w:rPr>
        <w:t>e</w:t>
      </w:r>
      <w:r>
        <w:rPr>
          <w:bCs/>
        </w:rPr>
        <w:t xml:space="preserve">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(U, </w:t>
      </w:r>
      <w:r>
        <w:rPr>
          <w:bCs/>
        </w:rPr>
        <w:t>K</w:t>
      </w:r>
      <w:r>
        <w:rPr>
          <w:bCs/>
        </w:rPr>
        <w:t xml:space="preserve">)- </w:t>
      </w:r>
      <w:r>
        <w:rPr>
          <w:rFonts w:eastAsia="Calibri" w:cs="" w:cstheme="minorBidi" w:eastAsiaTheme="minorHAnsi"/>
          <w:bCs/>
          <w:color w:val="auto"/>
          <w:kern w:val="0"/>
          <w:sz w:val="22"/>
          <w:szCs w:val="22"/>
          <w:lang w:val="pl-PL" w:eastAsia="en-US" w:bidi="ar-SA"/>
        </w:rPr>
        <w:t>Poszerzona</w:t>
      </w:r>
      <w:r>
        <w:rPr>
          <w:bCs/>
        </w:rPr>
        <w:t xml:space="preserve"> umiejętność samodzielnego zdobywania i pogłębiania wiedzy pod kierunkiem wykładowcy. </w:t>
      </w:r>
    </w:p>
    <w:p>
      <w:pPr>
        <w:pStyle w:val="Normal"/>
        <w:spacing w:lineRule="auto" w:line="240" w:before="0" w:after="86"/>
        <w:ind w:hanging="0"/>
        <w:jc w:val="both"/>
        <w:rPr/>
      </w:pPr>
      <w:r>
        <w:rPr>
          <w:bCs/>
        </w:rPr>
        <w:t xml:space="preserve">Ocena bardzo dobra </w:t>
      </w:r>
    </w:p>
    <w:p>
      <w:pPr>
        <w:pStyle w:val="Normal"/>
        <w:spacing w:lineRule="auto" w:line="240"/>
        <w:ind w:hanging="0"/>
        <w:jc w:val="both"/>
        <w:rPr/>
      </w:pPr>
      <w:r>
        <w:rPr>
          <w:bCs/>
        </w:rPr>
        <w:t xml:space="preserve">(W)- Wyczerpująca wiedza w </w:t>
      </w:r>
      <w:r>
        <w:rPr>
          <w:bCs/>
        </w:rPr>
        <w:t xml:space="preserve">przedmiotowym </w:t>
      </w:r>
      <w:r>
        <w:rPr>
          <w:bCs/>
        </w:rPr>
        <w:t>zakresie.</w:t>
      </w:r>
    </w:p>
    <w:p>
      <w:pPr>
        <w:pStyle w:val="Normal"/>
        <w:spacing w:lineRule="auto" w:line="240"/>
        <w:ind w:hanging="0"/>
        <w:jc w:val="both"/>
        <w:rPr/>
      </w:pPr>
      <w:r>
        <w:rPr>
          <w:bCs/>
        </w:rPr>
        <w:t>(U)- Pełna umiejętność samodzielnego zdobywania i pogłębiania wiedzy pod kierunkiem wykładowcy.</w:t>
      </w:r>
    </w:p>
    <w:p>
      <w:pPr>
        <w:pStyle w:val="Normal"/>
        <w:spacing w:lineRule="auto" w:line="240"/>
        <w:jc w:val="both"/>
        <w:rPr>
          <w:bCs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</w:tr>
    </w:tbl>
    <w:p>
      <w:pPr>
        <w:pStyle w:val="Normal"/>
        <w:spacing w:before="0" w:after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Ryszard Rosa, 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Zarys f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ilozofi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bezpieczeństwa,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Siedlce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2023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Wojciech Gizicki, Polityczne uwarunkowania bezpieczeństwa europejskiego, Toruń 2008;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Carl von Clausewitz, O wojnie, Warszawa 1995.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Sun Tzu, Sztuka wojny, Warszawa 1994.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Tadeusz Szczurek, (red.), Filozoficzne i społeczne aspekty bezpieczeństwa, Warszawa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Stanisław Koziej, Między piekłem a rajem. Szare bezpieczeństwo na progu XXI w., Toruń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Ryszard Zięba, Bezpieczeństwo międzynarodowe po zimnej wojnie, Warszawa 2008.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51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D327-7F94-4E8C-9137-FDB2C977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LibreOffice/7.0.2.2$Windows_X86_64 LibreOffice_project/8349ace3c3162073abd90d81fd06dcfb6b36b994</Application>
  <Pages>3</Pages>
  <Words>480</Words>
  <Characters>3460</Characters>
  <CharactersWithSpaces>3816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2020-10-22T07:45:00Z</dcterms:created>
  <dc:creator>Anna Łukasiewicz</dc:creator>
  <dc:description/>
  <dc:language>pl-PL</dc:language>
  <cp:lastModifiedBy>Wojciech Gizicki</cp:lastModifiedBy>
  <cp:lastPrinted>2019-01-23T11:10:00Z</cp:lastPrinted>
  <dcterms:modified xsi:type="dcterms:W3CDTF">2024-12-17T12:00:12Z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