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społeczności lokalnych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Security of local communities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Grzegorz Tutak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tematyką bezpieczeństwa w wymiarze lokalnym.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C1- Zapoznanie studentów z istotą i uwarunkowaniami  bezpieczeństwa lokalnego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C2 – Charakterystyka zagrożeń bezpieczeństwa lokalnego   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przedstawienie systemu przeciwdziałania występującym zagrożeniom na poziomie lokalnym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istotę oraz uwarunkowania bezpieczeństwa zarówno w skali społecznej, ogólnopaństwowej w odniesienie do wspólnoty loklanej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dotyczącą dziedziny nauk społecznych, w tym odnoszącą się do prowadzenia badań nad bezpieczeństwem, w tym bezpieczeństwa lokalnym przy pomocy odpowiednich metod, technik i narzędzi badawczych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potrafi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wykorzystywać zdobytą wiedzę teoretyczną do analizowania, diagnozowania, wyjaśniania oraz prognozowania zagrożeń występujących w społeczności lokalnej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zaplanować rozwiązania konkretnych problemy związane z bezpieczeństwem lokalnym, prognozować działania oraz przewidywać skutki tych że działań, wykorzystując przy tym nabytą wiedzę teoretyczną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oceniać zagrożenia dla bezpieczeństwa społeczności lokalnych  oraz identyfikować ich przyczyny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potrafi wspólnie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planować, organizować pracę zespołu i współpracować w grupie dla tworzenia podstawowych programów ochrony bezpieczeństwa lokalnego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jest przygotowany do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myślenia oraz działania w sposób prospołeczny w zakresie skuteczności działań w zakresie zapewnienia bezpieczeństwa w środowisku lokalnym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</w:t>
              <w:tab/>
              <w:t>Pojęcie bezpieczeństwa i jego rodzaje, elementy składowe, a bezpieczeństwo lokalne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</w:t>
              <w:tab/>
              <w:t>Bezpieczeństwo lokalne w polityce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</w:t>
              <w:tab/>
              <w:t>Społeczności lokalne a problematyka bezpieczeństwa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</w:t>
              <w:tab/>
              <w:t>Samorząd terytorialny – geneza, charakterystyka, zasady ustroju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</w:t>
              <w:tab/>
              <w:t>Kompetencje administracji samorządowej w zakresie bezpieczeństwa i zapobiegania przestępczości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a)</w:t>
              <w:tab/>
              <w:t>Rola, zadania i kompetencje gminy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b)</w:t>
              <w:tab/>
              <w:t xml:space="preserve">Rola, zadania i kompetencje powiatu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c)</w:t>
              <w:tab/>
              <w:t xml:space="preserve">Współpraca samorządu lokalnego a poziom województwa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</w:t>
              <w:tab/>
              <w:t>Zarządzanie kryzysowe a bezpieczeństwo społeczności lokalnych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</w:t>
              <w:tab/>
              <w:t>Rola służb mundurowych i  innych podmiotów w zakresie zapewnienia bezpieczeństwa lokalnego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</w:t>
              <w:tab/>
              <w:t>Zagrożenia dla bezpieczeństwa lokalnego – rodzaje i charakterystyka, uwarunkowania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</w:t>
              <w:tab/>
              <w:t>Partycypacja społeczna a bezpieczeństwo lokalne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</w:t>
              <w:tab/>
              <w:t>Polityki lokalne (zdrowotna, społeczna i prorodzinna, kulturowa, ekologiczna) i ich znaczenie dla bezpieczeństwa lokalnego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</w:t>
              <w:tab/>
              <w:t>Rola instytucji społecznych w kształtowaniu postaw prospołecznych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</w:t>
              <w:tab/>
              <w:t xml:space="preserve">System przeciwdziałania i zwalczania patologiom społecznym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</w:t>
              <w:tab/>
              <w:t>Programy społeczne w zakresie zwalczania patologiom społecznym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</w:t>
              <w:tab/>
              <w:t>Współpraca jednostek samorządowych i innych podmiotów w zakresie zapewnienia bezpieczeństwa lokalnego (case study na podstawie konkretnych społeczności i jednostek administracyjnych, analiza zagrożeń i planów zarządzania kryzysowego )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898"/>
        <w:gridCol w:w="2641"/>
        <w:gridCol w:w="2450"/>
      </w:tblGrid>
      <w:tr>
        <w:trPr/>
        <w:tc>
          <w:tcPr>
            <w:tcW w:w="1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konwencjonalny/problemowy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konwencjonalny/problemowy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</w:rPr>
      </w:pPr>
      <w:r>
        <w:rPr>
          <w:b/>
        </w:rPr>
        <w:t>Warunkami zaliczenia zajęć są: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przygotowanie do zajęć (opanowanie zadanego materiału) – wykład i ćwiczenia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aktywność w trakcie zajęć, czynne uczestnictwo w dyskusji – podczas ćwiczeń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obecność na zajęciach – na wykładzie i ćwiczeniach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- przygotowywanie zagadnień w formie prezentacji/referatu (dla chętnych)- w ramach ćwiczeń</w:t>
      </w:r>
    </w:p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Normal"/>
        <w:spacing w:before="0" w:after="0"/>
        <w:rPr>
          <w:bCs/>
        </w:rPr>
      </w:pPr>
      <w:r>
        <w:rPr>
          <w:bCs/>
        </w:rPr>
        <w:t>Ponadto zaliczenie egzaminu końcowego z wykładu oraz zaliczenia końcowego z ćwiczeń.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Ponadto: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Ocena niedostateczna – brak obecności, student nie opanował materiału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Ocena dostateczna - obecność na zajęciach, brak aktywności, poprawna odpowiedź na przynajmniej 60 proc. Zagadnień egzaminu/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Ocena dostateczna plus  - obecność na zajęciach, brak aktywności, poprawna odpowiedź na przynajmniej 70 proc. Zagadnień egzaminu/zaliczenia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Ocena dobra - obecność na zajęciach, sporadyczna aktywność, poprawna odpowiedź na przynajmniej 80 proc. Egzaminu/ 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5. Ocena dobra plus - obecność na zajęciach, aktywność na zajęciach, poprawna odpowiedź na przynajmniej 90 proc. Egzaminu/zagadnień zaliczenia końcowego  </w:t>
      </w:r>
    </w:p>
    <w:p>
      <w:pPr>
        <w:pStyle w:val="Normal"/>
        <w:spacing w:before="0" w:after="0"/>
        <w:rPr>
          <w:bCs/>
        </w:rPr>
      </w:pPr>
      <w:r>
        <w:rPr>
          <w:bCs/>
        </w:rPr>
        <w:t xml:space="preserve">6. Ocena bardzo dobra -  obecność na zajęciach, aktywny udział w dyskusji w trakcie zajęć, poprawna odpowiedź na 100 proc. Egzamin/zagadnień zaliczenia końcowego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Mickiewicz,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Bezpieczeństwo społeczności lokalnych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Poznań 2020;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G. Bonusiak, D. Boratym,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Bezpieczeństwo społeczności lokalnych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Rzeszów 2020;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6" w:hanging="0"/>
              <w:jc w:val="both"/>
              <w:rPr>
                <w:rStyle w:val="Wyrnienie"/>
                <w:i w:val="false"/>
                <w:i w:val="false"/>
              </w:rPr>
            </w:pPr>
            <w:r>
              <w:rPr>
                <w:rStyle w:val="Wyrnienie"/>
                <w:rFonts w:eastAsia="Calibri" w:cs=""/>
                <w:i w:val="false"/>
                <w:iCs w:val="false"/>
                <w:kern w:val="0"/>
                <w:sz w:val="22"/>
                <w:szCs w:val="22"/>
                <w:lang w:val="pl-PL" w:eastAsia="en-US" w:bidi="ar-SA"/>
              </w:rPr>
              <w:t>Fehler W. (red.),</w:t>
            </w:r>
            <w:r>
              <w:rPr>
                <w:rStyle w:val="Wyrnieni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Bezpieczeństwo w środowisku lokalnym,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color w:val="06022E"/>
                <w:kern w:val="0"/>
                <w:sz w:val="23"/>
                <w:szCs w:val="23"/>
                <w:shd w:fill="FFFFFF" w:val="clear"/>
                <w:lang w:val="pl-PL" w:eastAsia="en-US" w:bidi="ar-SA"/>
              </w:rPr>
              <w:t xml:space="preserve">Gierszewski J., </w:t>
            </w:r>
            <w:r>
              <w:rPr>
                <w:rFonts w:eastAsia="Calibri" w:cs=""/>
                <w:i/>
                <w:color w:val="06022E"/>
                <w:kern w:val="0"/>
                <w:sz w:val="23"/>
                <w:szCs w:val="23"/>
                <w:shd w:fill="FFFFFF" w:val="clear"/>
                <w:lang w:val="pl-PL" w:eastAsia="en-US" w:bidi="ar-SA"/>
              </w:rPr>
              <w:t>Organizacja systemu bezpieczeństwa społecznego</w:t>
            </w:r>
            <w:r>
              <w:rPr>
                <w:rFonts w:eastAsia="Calibri" w:cs=""/>
                <w:color w:val="06022E"/>
                <w:kern w:val="0"/>
                <w:sz w:val="23"/>
                <w:szCs w:val="23"/>
                <w:shd w:fill="FFFFFF" w:val="clear"/>
                <w:lang w:val="pl-PL" w:eastAsia="en-US" w:bidi="ar-SA"/>
              </w:rPr>
              <w:t>, Difin, Warszawa 2013.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59" w:before="0" w:after="3"/>
              <w:ind w:left="10" w:right="0" w:hanging="10"/>
              <w:jc w:val="left"/>
              <w:rPr>
                <w:rFonts w:ascii="Times New Roman" w:hAnsi="Times New Roman" w:eastAsia="Times New Roman" w:cs="Times New Roman"/>
                <w:i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2"/>
                <w:szCs w:val="22"/>
                <w:lang w:val="pl-PL" w:eastAsia="pl-PL" w:bidi="ar-SA"/>
              </w:rPr>
              <w:t>Ustawa z dnia 8 marca 1990 r. o samorządzie gminnym</w:t>
              <w:br/>
              <w:t>2. Ustawa z dnia 5 czerwca 1998 r. o samorządzie powiatowym</w:t>
              <w:br/>
              <w:t>3. Ustawa z dnia 5 czerwca 1998 r. o samorządzie województwa</w:t>
              <w:br/>
              <w:t>4. Ustawa z dnia 23 stycznia 2009 r. o wojewodzie i administracji rządowej w województwie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59" w:before="0" w:after="3"/>
              <w:ind w:left="10" w:right="0" w:hanging="1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5. Ustawa z 12007 r. o stanie klęski żywiołowej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6. Ustawa z 26 kwietnia 2007 r. o zarządzaniu kryzysowym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2"/>
                <w:szCs w:val="22"/>
                <w:lang w:val="pl-PL" w:eastAsia="pl-PL" w:bidi="ar-SA"/>
              </w:rPr>
              <w:br/>
              <w:t>7. Ustawa z dnia 27 marca 2003 r. o planowaniu i zagospodarowaniu przestrzennym</w:t>
              <w:br/>
              <w:t>8. Ustawa z dnia 22 sierpnia 1997 r. o ochronie osób i mienia</w:t>
              <w:br/>
              <w:t>9. Ustawa z dnia 7 kwietnia 1989 r. Prawo o stowarzyszeniach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6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Szymoniuk A.,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pl-PL" w:eastAsia="pl-PL" w:bidi="ar-SA"/>
              </w:rPr>
              <w:t>Organizacja funkcjonowanie systemów bezpieczeństwa. Zarządzanie bezpieczeństwem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, wyd. Difin, Warszawa 2011.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6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Urban A.,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2"/>
                <w:szCs w:val="22"/>
                <w:lang w:val="pl-PL" w:eastAsia="pl-PL" w:bidi="ar-SA"/>
              </w:rPr>
              <w:t>Bezpieczeństwo społeczności lokalnej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6022E"/>
                <w:kern w:val="0"/>
                <w:sz w:val="22"/>
                <w:szCs w:val="22"/>
                <w:shd w:fill="FFFFFF" w:val="clear"/>
                <w:lang w:val="pl-PL" w:eastAsia="pl-PL" w:bidi="ar-SA"/>
              </w:rPr>
              <w:t xml:space="preserve">Wydawnictwa Akademickie </w:t>
              <w:br/>
              <w:t>i Profesjonalne</w:t>
            </w:r>
            <w:r>
              <w:rPr>
                <w:rFonts w:eastAsia="Times New Roman" w:cs="Arial" w:ascii="Arial" w:hAnsi="Arial"/>
                <w:color w:val="06022E"/>
                <w:kern w:val="0"/>
                <w:sz w:val="23"/>
                <w:szCs w:val="23"/>
                <w:shd w:fill="FFFFFF" w:val="clear"/>
                <w:lang w:val="pl-PL" w:eastAsia="pl-PL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yrnienie">
    <w:name w:val="Emphasis"/>
    <w:basedOn w:val="DefaultParagraphFont"/>
    <w:uiPriority w:val="20"/>
    <w:qFormat/>
    <w:rsid w:val="009b170d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5</Pages>
  <Words>909</Words>
  <Characters>6344</Characters>
  <CharactersWithSpaces>7119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2024-12-03T10:31:00Z</dcterms:created>
  <dc:creator>Anna Łukasiewicz</dc:creator>
  <dc:description/>
  <dc:language>pl-PL</dc:language>
  <cp:lastModifiedBy/>
  <cp:lastPrinted>2019-01-23T11:10:00Z</cp:lastPrinted>
  <dcterms:modified xsi:type="dcterms:W3CDTF">2024-12-10T16:27:43Z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