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9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Ochrona dziedzictwa narodowego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>
                <w:rStyle w:val="Rynqvb"/>
                <w:lang w:val="en-US"/>
              </w:rPr>
              <w:t>Protection of national heritage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 xml:space="preserve">Kierunek studiów 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Bezpieczeństwo 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I stopień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lang w:val="pl-PL"/>
              </w:rPr>
            </w:pPr>
            <w:r>
              <w:rPr>
                <w:lang w:val="pl-PL"/>
              </w:rPr>
              <w:t xml:space="preserve">Nauki o Polityce i Administracji i Nauki o Bezpieczeństwie 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9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Koordynator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Dr hab. Andrzej Niewiński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9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/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/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/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/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30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III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9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6978"/>
      </w:tblGrid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Wymagania wstępne</w:t>
            </w:r>
          </w:p>
        </w:tc>
        <w:tc>
          <w:tcPr>
            <w:tcW w:w="69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 xml:space="preserve">1. Ogólna orientacja w społeczno-kulturowej historii dziejów państwa polskiego.  </w:t>
              <w:br/>
              <w:t xml:space="preserve">2. Ogólna orientacja w wiedzy o społeczeństwie. </w:t>
              <w:br/>
              <w:t>3. Podstawowe wiadomości z zakresu historii, politologii, historii kultury.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9"/>
        <w:tblW w:w="181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  <w:gridCol w:w="9061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>
                <w:rFonts w:eastAsia="Times New Roman" w:cs="Calibri" w:cstheme="minorHAnsi"/>
                <w:lang w:eastAsia="pl-PL"/>
              </w:rPr>
              <w:t>C1 – Głównym celem zajęć jest zapoznanie absolwenta na temat znaczenia dziedzictwa narodowego dla tożsamości kulturowej, historycznej i społecznej</w:t>
            </w:r>
          </w:p>
        </w:tc>
        <w:tc>
          <w:tcPr>
            <w:tcW w:w="90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>
                <w:rFonts w:eastAsia="Times New Roman" w:cs="Calibri" w:cstheme="minorHAnsi"/>
                <w:lang w:eastAsia="pl-PL"/>
              </w:rPr>
              <w:t>C2 – Istotnym celem jest rozwinięcie wiedzy o różnorodnych formach dziedzictwa: Materialnym (zabytki, architektura, dzieła sztuki) i niematerialnym (tradycje, język, zwyczaje)</w:t>
            </w:r>
          </w:p>
        </w:tc>
        <w:tc>
          <w:tcPr>
            <w:tcW w:w="90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>
                <w:rFonts w:eastAsia="Times New Roman" w:cs="Calibri" w:cstheme="minorHAnsi"/>
                <w:lang w:eastAsia="pl-PL"/>
              </w:rPr>
              <w:t>C3 – Budowanie postaw odpowiedzialności obywatelskiej wobec zasobów kulturowych i historycznych</w:t>
            </w:r>
          </w:p>
        </w:tc>
        <w:tc>
          <w:tcPr>
            <w:tcW w:w="90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9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5833"/>
        <w:gridCol w:w="2137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/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/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/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Absolwent zna i rozumie: wiedzę o systemach i instytucjach bezpieczeństwa, politycznych i społecznych oraz o ich wzajemnych relacjach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K_W04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wiedzę na temat bezpieczeństwa globalnego, systemów bezpieczeństwa państw, a także bezpieczeństwa instytucji międzynarodowych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K_W05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W_03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wiedzę dotyczącą norm etycznych, które obowiązują w relacjach międzyludzkich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K_W06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/>
              <w:t>UMIEJĘTNOŚCI absolwent potrafi: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wykorzystywać zdobytą wiedzę teoretyczną do analizowania,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diagnozowania, wyjaśniania oraz prognozowania kwestii szczegółowych odnoszących się do bezpieczeństwa społecznego, państwowego i międzynarodowego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K_U01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budować strategie działań dotyczących bezpieczeństwa społecznego, państwowego i międzynarodowego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K_U02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U_03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w sposób zwięzły, zrozumiały i z użyciem specjalistycznej terminologii komunikować się, prowadzić negocjacje z otoczeniem, przedstawić i uzasadnić swoje stanowisko oraz dyskutować o nim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K_U10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/>
              <w:t>KOMPETENCJE SPOŁECZNE absolwent jest gotów do: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przestrzegania zasad etyki zawodowej oraz ich stosowania w działaniach mających na celu zapewnienie najwyższych standardów bezpieczeństwa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K_K01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K_02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myślenia oraz działania w sposób przedsiębiorczy i prospołeczny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K_K02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K_03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dokonywania oceny i samooceny wiedzy we wskazanym zakresie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K_K03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9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Autospacing="1"/>
              <w:ind w:left="0" w:right="0" w:hanging="0"/>
              <w:jc w:val="lef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1. Wprowadzenie do ochrony dziedzictwa narodowego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Definicje i klasyfikacja dziedzictwa narodowego: materialne i niematerialne.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Znaczenie dziedzictwa narodowego dla tożsamości kulturowej i historycznej.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Autospacing="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Podstawy prawne ochrony dziedzictwa w Polsce i na świecie (np. ustawa o ochronie zabytków, konwencje UNESCO).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Autospacing="1"/>
              <w:ind w:left="0" w:right="0" w:hanging="0"/>
              <w:jc w:val="lef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2. Historia ochrony dziedzictwa w Polsce i na świecie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Ewolucja podejścia do ochrony dziedzictwa na przestrzeni wieków.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Rola instytucji państwowych i organizacji międzynarodowych w ochronie dziedzictwa (np. Narodowy Instytut Dziedzictwa, UNESCO, ICOMOS).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Autospacing="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Najważniejsze wydarzenia i inicjatywy związane z ochroną dziedzictwa w Polsce.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Autospacing="1"/>
              <w:ind w:left="0" w:right="0" w:hanging="0"/>
              <w:jc w:val="lef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3. Zagrożenia dla dziedzictwa narodowego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Urbanizacja, rozwój infrastruktury i zmiany klimatyczne.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Konflikty zbrojne, kradzieże, przemyt i wandalizm.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Autospacing="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Zagrożenia wynikające z braku świadomości społecznej.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Autospacing="1"/>
              <w:ind w:left="0" w:right="0" w:hanging="0"/>
              <w:jc w:val="lef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4. Prawo i regulacje dotyczące ochrony dziedzictwa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Międzynarodowe dokumenty prawne (Konwencja UNESCO z 1972 r., Konwencja z Faro).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Polskie regulacje prawne dotyczące ochrony zabytków i opieki nad dziedzictwem.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Autospacing="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Rola konserwatora zabytków i innych instytucji w procesach ochrony.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Autospacing="1"/>
              <w:ind w:left="0" w:right="0" w:hanging="0"/>
              <w:jc w:val="lef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5. Metody ochrony dziedzictwa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Techniki konserwatorskie i restauratorskie.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Dokumentacja i digitalizacja obiektów dziedzictwa.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Autospacing="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Edukacja i promocja dziedzictwa jako narzędzia ochrony.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Autospacing="1"/>
              <w:ind w:left="0" w:right="0" w:hanging="0"/>
              <w:jc w:val="lef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6. Rola dziedzictwa niematerialnego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Znaczenie tradycji, języka, zwyczajów i rzemiosła dla dziedzictwa narodowego.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Przykłady niematerialnego dziedzictwa w Polsce wpisanego na listę UNESCO.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Autospacing="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Metody ochrony dziedzictwa niematerialnego: edukacja i transmisja międzypokoleniowa.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Autospacing="1"/>
              <w:ind w:left="0" w:right="0" w:hanging="0"/>
              <w:jc w:val="lef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7. Zarządzanie dziedzictwem narodowym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Planowanie i realizacja projektów ochronnych.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Rola funduszy krajowych i międzynarodowych w finansowaniu działań ochronnych.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Autospacing="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Turystyka dziedzictwa jako narzędzie ochrony i rozwoju lokalnego.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Autospacing="1"/>
              <w:ind w:left="0" w:right="0" w:hanging="0"/>
              <w:jc w:val="lef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8. Współczesne wyzwania w ochronie dziedzictwa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Cyfryzacja dziedzictwa i wykorzystanie nowych technologii.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Etyczne dylematy w ochronie dziedzictwa: rekonstrukcja czy zachowanie w oryginale?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Autospacing="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Współpraca między państwami i społecznościami w obliczu globalnych wyzwań.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Autospacing="1"/>
              <w:ind w:left="0" w:right="0" w:hanging="0"/>
              <w:jc w:val="lef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9. Ochrona wybranych obiektów dziedzictwa w Polsce i na świecie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Analiza przykładów dobrych praktyk w ochronie dziedzictwa.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Autospacing="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Dyskusja nad skutecznością działań ochronnych w wybranych przypadkach.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9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695"/>
        <w:gridCol w:w="2834"/>
        <w:gridCol w:w="2583"/>
      </w:tblGrid>
      <w:tr>
        <w:trPr/>
        <w:tc>
          <w:tcPr>
            <w:tcW w:w="10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/>
              <w:t>Symbol efektu</w:t>
            </w:r>
          </w:p>
        </w:tc>
        <w:tc>
          <w:tcPr>
            <w:tcW w:w="26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/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/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/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W_01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>
                <w:rFonts w:eastAsia="Calibri" w:cs="Calibri" w:cstheme="minorHAnsi"/>
              </w:rPr>
              <w:t>Dyskusja, praca samodzielna i w grupach, praca z tekstem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lang w:val="pl-PL"/>
              </w:rPr>
            </w:pPr>
            <w:r>
              <w:rPr>
                <w:lang w:val="pl-PL"/>
              </w:rPr>
              <w:t>Zaliczenie lektur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lang w:val="pl-PL"/>
              </w:rPr>
            </w:pPr>
            <w:r>
              <w:rPr>
                <w:lang w:val="pl-PL"/>
              </w:rPr>
              <w:t>Protokół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W_02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>
                <w:rFonts w:eastAsia="Calibri" w:cs="Calibri" w:cstheme="minorHAnsi"/>
              </w:rPr>
              <w:t>Dyskusja, praca samodzielna i w grupach, praca z tekstem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lang w:val="pl-PL"/>
              </w:rPr>
            </w:pPr>
            <w:r>
              <w:rPr>
                <w:lang w:val="pl-PL"/>
              </w:rPr>
              <w:t>Zaliczenie lektur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lang w:val="pl-PL"/>
              </w:rPr>
            </w:pPr>
            <w:r>
              <w:rPr>
                <w:lang w:val="pl-PL"/>
              </w:rPr>
              <w:t>Protokół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W_…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>
                <w:rFonts w:eastAsia="Calibri" w:cs="Calibri" w:cstheme="minorHAnsi"/>
              </w:rPr>
              <w:t>Dyskusja, praca samodzielna i w grupach, praca z tekstem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lang w:val="pl-PL"/>
              </w:rPr>
            </w:pPr>
            <w:r>
              <w:rPr>
                <w:lang w:val="pl-PL"/>
              </w:rPr>
              <w:t>Zaliczenie lektur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>
                <w:lang w:val="pl-PL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U_01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>
                <w:rFonts w:eastAsia="Calibri" w:cs="Calibri" w:cstheme="minorHAnsi"/>
              </w:rPr>
              <w:t>Dyskusja, praca samodzielna i w grupach, praca z tekstem</w:t>
            </w:r>
          </w:p>
        </w:tc>
        <w:tc>
          <w:tcPr>
            <w:tcW w:w="2834" w:type="dxa"/>
            <w:tcBorders/>
            <w:shd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kern w:val="0"/>
                <w:sz w:val="22"/>
                <w:szCs w:val="22"/>
                <w:lang w:val="pl-PL" w:eastAsia="en-US" w:bidi="ar-SA"/>
                <w14:ligatures w14:val="none"/>
              </w:rPr>
            </w:pPr>
            <w:r>
              <w:rPr>
                <w:lang w:val="pl-PL"/>
              </w:rPr>
              <w:t>Zaliczenie lektur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>
                <w:lang w:val="pl-PL"/>
              </w:rPr>
              <w:t>Protokół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U_02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>
                <w:rFonts w:eastAsia="Calibri" w:cs="Calibri" w:cstheme="minorHAnsi"/>
              </w:rPr>
              <w:t>Dyskusja, praca samodzielna i w grupach, praca z tekstem</w:t>
            </w:r>
          </w:p>
        </w:tc>
        <w:tc>
          <w:tcPr>
            <w:tcW w:w="2834" w:type="dxa"/>
            <w:tcBorders/>
            <w:shd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kern w:val="0"/>
                <w:sz w:val="22"/>
                <w:szCs w:val="22"/>
                <w:lang w:val="pl-PL" w:eastAsia="en-US" w:bidi="ar-SA"/>
                <w14:ligatures w14:val="none"/>
              </w:rPr>
            </w:pPr>
            <w:r>
              <w:rPr>
                <w:lang w:val="pl-PL"/>
              </w:rPr>
              <w:t>Zaliczenie lektur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>
                <w:lang w:val="pl-PL"/>
              </w:rPr>
              <w:t>Protokół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U_….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>
                <w:rFonts w:eastAsia="Calibri" w:cs="Calibri" w:cstheme="minorHAnsi"/>
              </w:rPr>
              <w:t>Dyskusja, praca samodzielna i w grupach, praca z tekstem</w:t>
            </w:r>
          </w:p>
        </w:tc>
        <w:tc>
          <w:tcPr>
            <w:tcW w:w="2834" w:type="dxa"/>
            <w:tcBorders/>
            <w:shd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kern w:val="0"/>
                <w:sz w:val="22"/>
                <w:szCs w:val="22"/>
                <w:lang w:val="pl-PL" w:eastAsia="en-US" w:bidi="ar-SA"/>
                <w14:ligatures w14:val="none"/>
              </w:rPr>
            </w:pPr>
            <w:r>
              <w:rPr>
                <w:lang w:val="pl-PL"/>
              </w:rPr>
              <w:t>Zaliczenie lektur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>
                <w:lang w:val="pl-PL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/>
              <w:t>KOMPETENCJE SPOŁECZNE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K_01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>
                <w:rFonts w:eastAsia="Calibri" w:cs="Calibri" w:cstheme="minorHAnsi"/>
              </w:rPr>
              <w:t>Dyskusja, praca samodzielna i w grupach, praca z tekstem</w:t>
            </w:r>
          </w:p>
        </w:tc>
        <w:tc>
          <w:tcPr>
            <w:tcW w:w="2834" w:type="dxa"/>
            <w:tcBorders/>
            <w:shd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kern w:val="0"/>
                <w:sz w:val="22"/>
                <w:szCs w:val="22"/>
                <w:lang w:val="pl-PL" w:eastAsia="en-US" w:bidi="ar-SA"/>
                <w14:ligatures w14:val="none"/>
              </w:rPr>
            </w:pPr>
            <w:r>
              <w:rPr>
                <w:lang w:val="pl-PL"/>
              </w:rPr>
              <w:t>Zaliczenie lektur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>
                <w:lang w:val="pl-PL"/>
              </w:rPr>
              <w:t>Protokół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K_02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>
                <w:rFonts w:eastAsia="Calibri" w:cs="Calibri" w:cstheme="minorHAnsi"/>
              </w:rPr>
              <w:t>Dyskusja, praca samodzielna i w grupach, praca z tekstem</w:t>
            </w:r>
          </w:p>
        </w:tc>
        <w:tc>
          <w:tcPr>
            <w:tcW w:w="2834" w:type="dxa"/>
            <w:tcBorders/>
            <w:shd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kern w:val="0"/>
                <w:sz w:val="22"/>
                <w:szCs w:val="22"/>
                <w:lang w:val="pl-PL" w:eastAsia="en-US" w:bidi="ar-SA"/>
                <w14:ligatures w14:val="none"/>
              </w:rPr>
            </w:pPr>
            <w:r>
              <w:rPr>
                <w:lang w:val="pl-PL"/>
              </w:rPr>
              <w:t>Zaliczenie lektur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>
                <w:lang w:val="pl-PL"/>
              </w:rPr>
              <w:t>Protokół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K_...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>
                <w:rFonts w:eastAsia="Calibri" w:cs="Calibri" w:cstheme="minorHAnsi"/>
              </w:rPr>
              <w:t>Dyskusja, praca samodzielna i w grupach, praca z tekstem</w:t>
            </w:r>
          </w:p>
        </w:tc>
        <w:tc>
          <w:tcPr>
            <w:tcW w:w="2834" w:type="dxa"/>
            <w:tcBorders/>
            <w:shd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kern w:val="0"/>
                <w:sz w:val="22"/>
                <w:szCs w:val="22"/>
                <w:lang w:val="pl-PL" w:eastAsia="en-US" w:bidi="ar-SA"/>
                <w14:ligatures w14:val="none"/>
              </w:rPr>
            </w:pPr>
            <w:r>
              <w:rPr>
                <w:lang w:val="pl-PL"/>
              </w:rPr>
              <w:t>Zaliczenie lektur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>
                <w:lang w:val="pl-PL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ind w:left="360" w:hanging="0"/>
        <w:rPr/>
      </w:pPr>
      <w:r>
        <w:rPr/>
        <w:t xml:space="preserve">1. Ocena niedostateczna – brak obecności na 80 proc. (50 proc. dla studentów z IOS) zajęć, niezaliczenie lektur </w:t>
      </w:r>
    </w:p>
    <w:p>
      <w:pPr>
        <w:pStyle w:val="Normal"/>
        <w:ind w:left="360" w:hanging="0"/>
        <w:rPr/>
      </w:pPr>
      <w:r>
        <w:rPr/>
        <w:t>2. Ocena dostateczna - obecność na  80 proc. (50 proc. dla studentów z IOS) zajęć, udział w dyskusji, dostateczne zaliczenie lektur</w:t>
      </w:r>
    </w:p>
    <w:p>
      <w:pPr>
        <w:pStyle w:val="Normal"/>
        <w:ind w:left="360" w:hanging="0"/>
        <w:rPr/>
      </w:pPr>
      <w:r>
        <w:rPr/>
        <w:t>3. Ocena dostateczna plus  - obecność na  80 proc. (50 proc. dla studentów z IOS) zajęć, odpowiedzi na pytania w trakcie zajęć, udział w dyskusji, dostateczne zaliczenie lektur</w:t>
      </w:r>
    </w:p>
    <w:p>
      <w:pPr>
        <w:pStyle w:val="Normal"/>
        <w:ind w:left="360" w:hanging="0"/>
        <w:rPr/>
      </w:pPr>
      <w:r>
        <w:rPr/>
        <w:t>4. Ocena dobra - obecność na  80 proc. (50 proc. dla studentów z IOS) zajęć, udział w dyskusji w trakcie zajęć,  poprawne zaliczenie lektur</w:t>
      </w:r>
    </w:p>
    <w:p>
      <w:pPr>
        <w:pStyle w:val="Normal"/>
        <w:ind w:left="360" w:hanging="0"/>
        <w:rPr/>
      </w:pPr>
      <w:r>
        <w:rPr/>
        <w:t>5. Ocena dobra plus - obecność na  80 proc. (50 proc. dla studentów z IOS) zajęć, samodzielny udział w dyskusji w trakcie zajęć, poprawne zaleczenie lektur</w:t>
      </w:r>
    </w:p>
    <w:p>
      <w:pPr>
        <w:pStyle w:val="Normal"/>
        <w:ind w:left="360" w:hanging="0"/>
        <w:rPr/>
      </w:pPr>
      <w:r>
        <w:rPr/>
        <w:t>6. Ocena bardzo dobra -  obecność na  80 proc. (50 proc. dla studentów z IOS) zajęć, samodzielny i aktywny udział w dyskusji w trakcie zajęć, bardzo dobre zaliczenie lektur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9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9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Literatura podstawowa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lineRule="auto" w:line="240" w:before="0" w:after="280"/>
              <w:rPr>
                <w:rFonts w:ascii="Times New Roman" w:hAnsi="Times New Roman" w:eastAsia="SimSun" w:cs="Times New Roman"/>
              </w:rPr>
            </w:pPr>
            <w:r>
              <w:rPr>
                <w:rFonts w:eastAsia="Symbol" w:cs="Symbol" w:ascii="Symbol" w:hAnsi="Symbol"/>
                <w:sz w:val="24"/>
              </w:rPr>
              <w:t>·</w:t>
            </w:r>
            <w:r>
              <w:rPr>
                <w:rFonts w:eastAsia="SimSun" w:cs="SimSun" w:ascii="SimSun" w:hAnsi="SimSun"/>
                <w:sz w:val="24"/>
              </w:rPr>
              <w:t xml:space="preserve">  </w:t>
            </w:r>
            <w:r>
              <w:rPr>
                <w:rStyle w:val="Strong"/>
                <w:rFonts w:eastAsia="SimSun" w:cs="Times New Roman"/>
              </w:rPr>
              <w:t>Wojciech Kowalski</w:t>
            </w:r>
            <w:r>
              <w:rPr>
                <w:rFonts w:eastAsia="SimSun" w:cs="Times New Roman"/>
              </w:rPr>
              <w:t xml:space="preserve">, </w:t>
            </w:r>
            <w:r>
              <w:rPr>
                <w:rStyle w:val="Wyrnienie"/>
                <w:rFonts w:eastAsia="SimSun" w:cs="Times New Roman"/>
              </w:rPr>
              <w:t>Ochrona dziedzictwa kultury w prawie międzynarodowym publicznym</w:t>
            </w:r>
            <w:r>
              <w:rPr>
                <w:rFonts w:eastAsia="SimSun" w:cs="Times New Roman"/>
              </w:rPr>
              <w:t>, Wydawnictwo Uniwersytetu Śląskiego, 2011.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lineRule="auto" w:line="240" w:before="280" w:after="280"/>
              <w:rPr>
                <w:rFonts w:ascii="Times New Roman" w:hAnsi="Times New Roman" w:eastAsia="SimSun" w:cs="Times New Roman"/>
              </w:rPr>
            </w:pPr>
            <w:r>
              <w:rPr>
                <w:rFonts w:eastAsia="Symbol" w:cs="Symbol" w:ascii="Symbol" w:hAnsi="Symbol"/>
                <w:sz w:val="24"/>
              </w:rPr>
              <w:t>·</w:t>
            </w:r>
            <w:r>
              <w:rPr>
                <w:rFonts w:eastAsia="SimSun" w:cs="SimSun" w:ascii="SimSun" w:hAnsi="SimSun"/>
                <w:sz w:val="24"/>
              </w:rPr>
              <w:t xml:space="preserve">  </w:t>
            </w:r>
            <w:r>
              <w:rPr>
                <w:rStyle w:val="Strong"/>
                <w:rFonts w:eastAsia="SimSun" w:cs="Times New Roman"/>
              </w:rPr>
              <w:t>Tomasz Janiak</w:t>
            </w:r>
            <w:r>
              <w:rPr>
                <w:rFonts w:eastAsia="SimSun" w:cs="Times New Roman"/>
              </w:rPr>
              <w:t xml:space="preserve">, </w:t>
            </w:r>
            <w:r>
              <w:rPr>
                <w:rStyle w:val="Wyrnienie"/>
                <w:rFonts w:eastAsia="SimSun" w:cs="Times New Roman"/>
              </w:rPr>
              <w:t>Ochrona zabytków w Polsce. Wybrane zagadnienia prawne i praktyczne</w:t>
            </w:r>
            <w:r>
              <w:rPr>
                <w:rFonts w:eastAsia="SimSun" w:cs="Times New Roman"/>
              </w:rPr>
              <w:t>, Wolters Kluwer, 2016.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lineRule="auto" w:line="240" w:before="280" w:after="280"/>
              <w:rPr>
                <w:rFonts w:ascii="Times New Roman" w:hAnsi="Times New Roman" w:eastAsia="SimSun" w:cs="Times New Roman"/>
              </w:rPr>
            </w:pPr>
            <w:r>
              <w:rPr>
                <w:rFonts w:eastAsia="Symbol" w:cs="Symbol" w:ascii="Symbol" w:hAnsi="Symbol"/>
                <w:sz w:val="24"/>
              </w:rPr>
              <w:t>·</w:t>
            </w:r>
            <w:r>
              <w:rPr>
                <w:rFonts w:eastAsia="SimSun" w:cs="SimSun" w:ascii="SimSun" w:hAnsi="SimSun"/>
                <w:sz w:val="24"/>
              </w:rPr>
              <w:t xml:space="preserve">  </w:t>
            </w:r>
            <w:r>
              <w:rPr>
                <w:rStyle w:val="Strong"/>
                <w:rFonts w:eastAsia="SimSun" w:cs="Times New Roman"/>
              </w:rPr>
              <w:t>Ewa Kocój</w:t>
            </w:r>
            <w:r>
              <w:rPr>
                <w:rFonts w:eastAsia="SimSun" w:cs="Times New Roman"/>
              </w:rPr>
              <w:t xml:space="preserve">, </w:t>
            </w:r>
            <w:r>
              <w:rPr>
                <w:rStyle w:val="Wyrnienie"/>
                <w:rFonts w:eastAsia="SimSun" w:cs="Times New Roman"/>
              </w:rPr>
              <w:t>Dziedzictwo kulturowe. Między tradycją a współczesnością</w:t>
            </w:r>
            <w:r>
              <w:rPr>
                <w:rFonts w:eastAsia="SimSun" w:cs="Times New Roman"/>
              </w:rPr>
              <w:t>, Wydawnictwo Uniwersytetu Jagiellońskiego, 2014.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lineRule="auto" w:line="240" w:before="280" w:after="280"/>
              <w:rPr>
                <w:rFonts w:ascii="Times New Roman" w:hAnsi="Times New Roman" w:eastAsia="SimSun" w:cs="Times New Roman"/>
              </w:rPr>
            </w:pPr>
            <w:r>
              <w:rPr>
                <w:rFonts w:eastAsia="Symbol" w:cs="Symbol" w:ascii="Symbol" w:hAnsi="Symbol"/>
                <w:sz w:val="24"/>
              </w:rPr>
              <w:t>·</w:t>
            </w:r>
            <w:r>
              <w:rPr>
                <w:rFonts w:eastAsia="SimSun" w:cs="SimSun" w:ascii="SimSun" w:hAnsi="SimSun"/>
                <w:sz w:val="24"/>
              </w:rPr>
              <w:t xml:space="preserve">  </w:t>
            </w:r>
            <w:r>
              <w:rPr>
                <w:rStyle w:val="Strong"/>
                <w:rFonts w:eastAsia="SimSun" w:cs="Times New Roman"/>
              </w:rPr>
              <w:t>Narodowy Instytut Dziedzictwa</w:t>
            </w:r>
            <w:r>
              <w:rPr>
                <w:rFonts w:eastAsia="SimSun" w:cs="Times New Roman"/>
              </w:rPr>
              <w:t xml:space="preserve">, </w:t>
            </w:r>
            <w:r>
              <w:rPr>
                <w:rStyle w:val="Wyrnienie"/>
                <w:rFonts w:eastAsia="SimSun" w:cs="Times New Roman"/>
              </w:rPr>
              <w:t>Ochrona dziedzictwa kulturowego w Polsce. Teoria i praktyka</w:t>
            </w:r>
            <w:r>
              <w:rPr>
                <w:rFonts w:eastAsia="SimSun" w:cs="Times New Roman"/>
              </w:rPr>
              <w:t>, wyd. NID, 2020.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lineRule="auto" w:line="240" w:before="280" w:after="280"/>
              <w:rPr>
                <w:rFonts w:ascii="Times New Roman" w:hAnsi="Times New Roman" w:eastAsia="SimSun" w:cs="Times New Roman"/>
              </w:rPr>
            </w:pPr>
            <w:r>
              <w:rPr>
                <w:rFonts w:eastAsia="Symbol" w:cs="Symbol" w:ascii="Symbol" w:hAnsi="Symbol"/>
                <w:sz w:val="24"/>
              </w:rPr>
              <w:t>·</w:t>
            </w:r>
            <w:r>
              <w:rPr>
                <w:rFonts w:eastAsia="SimSun" w:cs="SimSun" w:ascii="SimSun" w:hAnsi="SimSun"/>
                <w:sz w:val="24"/>
              </w:rPr>
              <w:t xml:space="preserve">  </w:t>
            </w:r>
            <w:r>
              <w:rPr>
                <w:rStyle w:val="Strong"/>
                <w:rFonts w:eastAsia="SimSun" w:cs="Times New Roman"/>
              </w:rPr>
              <w:t>Bogusław Szmygin (red.)</w:t>
            </w:r>
            <w:r>
              <w:rPr>
                <w:rFonts w:eastAsia="SimSun" w:cs="Times New Roman"/>
              </w:rPr>
              <w:t xml:space="preserve">, </w:t>
            </w:r>
            <w:r>
              <w:rPr>
                <w:rStyle w:val="Wyrnienie"/>
                <w:rFonts w:eastAsia="SimSun" w:cs="Times New Roman"/>
              </w:rPr>
              <w:t>Dziedzictwo kulturowe w XXI wieku. Szanse i zagrożenia</w:t>
            </w:r>
            <w:r>
              <w:rPr>
                <w:rFonts w:eastAsia="SimSun" w:cs="Times New Roman"/>
              </w:rPr>
              <w:t>, Oficyna Wydawnicza Politechniki Lubelskiej, 2010.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lineRule="auto" w:line="240" w:before="280" w:after="280"/>
              <w:rPr>
                <w:rFonts w:ascii="Times New Roman" w:hAnsi="Times New Roman" w:eastAsia="SimSun" w:cs="Times New Roman"/>
              </w:rPr>
            </w:pPr>
            <w:r>
              <w:rPr>
                <w:rFonts w:eastAsia="Symbol" w:cs="Symbol" w:ascii="Symbol" w:hAnsi="Symbol"/>
                <w:sz w:val="24"/>
              </w:rPr>
              <w:t>·</w:t>
            </w:r>
            <w:r>
              <w:rPr>
                <w:rFonts w:eastAsia="SimSun" w:cs="SimSun" w:ascii="SimSun" w:hAnsi="SimSun"/>
                <w:sz w:val="24"/>
              </w:rPr>
              <w:t xml:space="preserve">  </w:t>
            </w:r>
            <w:r>
              <w:rPr>
                <w:rStyle w:val="Strong"/>
                <w:rFonts w:eastAsia="SimSun" w:cs="Times New Roman"/>
              </w:rPr>
              <w:t>Jan Pruszyński</w:t>
            </w:r>
            <w:r>
              <w:rPr>
                <w:rFonts w:eastAsia="SimSun" w:cs="Times New Roman"/>
              </w:rPr>
              <w:t xml:space="preserve">, </w:t>
            </w:r>
            <w:r>
              <w:rPr>
                <w:rStyle w:val="Wyrnienie"/>
                <w:rFonts w:eastAsia="SimSun" w:cs="Times New Roman"/>
              </w:rPr>
              <w:t>Dziedzictwo kultury Polski. Jego straty i ochrona prawna</w:t>
            </w:r>
            <w:r>
              <w:rPr>
                <w:rFonts w:eastAsia="SimSun" w:cs="Times New Roman"/>
              </w:rPr>
              <w:t>, Wydawnictwo Naukowe UAM, 2001.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lineRule="auto" w:line="240" w:before="280" w:after="280"/>
              <w:rPr>
                <w:rFonts w:ascii="Times New Roman" w:hAnsi="Times New Roman" w:eastAsia="SimSun" w:cs="Times New Roman"/>
              </w:rPr>
            </w:pPr>
            <w:r>
              <w:rPr>
                <w:rFonts w:eastAsia="Symbol" w:cs="Symbol" w:ascii="Symbol" w:hAnsi="Symbol"/>
                <w:sz w:val="24"/>
              </w:rPr>
              <w:t>·</w:t>
            </w:r>
            <w:r>
              <w:rPr>
                <w:rFonts w:eastAsia="SimSun" w:cs="SimSun" w:ascii="SimSun" w:hAnsi="SimSun"/>
                <w:sz w:val="24"/>
              </w:rPr>
              <w:t xml:space="preserve">  </w:t>
            </w:r>
            <w:r>
              <w:rPr>
                <w:rStyle w:val="Strong"/>
                <w:rFonts w:eastAsia="SimSun" w:cs="Times New Roman"/>
              </w:rPr>
              <w:t>Bogumił, Z., Tomaszewski, J. (red.)</w:t>
            </w:r>
            <w:r>
              <w:rPr>
                <w:rFonts w:eastAsia="SimSun" w:cs="Times New Roman"/>
              </w:rPr>
              <w:br/>
            </w:r>
            <w:r>
              <w:rPr>
                <w:rStyle w:val="Wyrnienie"/>
                <w:rFonts w:eastAsia="SimSun" w:cs="Times New Roman"/>
              </w:rPr>
              <w:t>"Dziedzictwo kulturowe: teoria, praktyka, polityka"</w:t>
            </w:r>
            <w:r>
              <w:rPr>
                <w:rFonts w:eastAsia="SimSun" w:cs="Times New Roman"/>
              </w:rPr>
              <w:br/>
              <w:t>Wydawnictwo Universitas, Kraków, 2018.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lineRule="auto" w:line="240" w:before="280" w:after="280"/>
              <w:rPr>
                <w:rFonts w:ascii="Times New Roman" w:hAnsi="Times New Roman" w:eastAsia="SimSun" w:cs="Times New Roman"/>
              </w:rPr>
            </w:pPr>
            <w:r>
              <w:rPr>
                <w:rFonts w:eastAsia="Symbol" w:cs="Symbol" w:ascii="Symbol" w:hAnsi="Symbol"/>
                <w:sz w:val="24"/>
              </w:rPr>
              <w:t>·</w:t>
            </w:r>
            <w:r>
              <w:rPr>
                <w:rFonts w:eastAsia="SimSun" w:cs="SimSun" w:ascii="SimSun" w:hAnsi="SimSun"/>
                <w:sz w:val="24"/>
              </w:rPr>
              <w:t xml:space="preserve">  </w:t>
            </w:r>
            <w:r>
              <w:rPr>
                <w:rStyle w:val="Strong"/>
                <w:rFonts w:eastAsia="SimSun" w:cs="Times New Roman"/>
              </w:rPr>
              <w:t>Cygan, A. (red.)</w:t>
            </w:r>
            <w:r>
              <w:rPr>
                <w:rFonts w:eastAsia="SimSun" w:cs="Times New Roman"/>
              </w:rPr>
              <w:br/>
            </w:r>
            <w:r>
              <w:rPr>
                <w:rStyle w:val="Wyrnienie"/>
                <w:rFonts w:eastAsia="SimSun" w:cs="Times New Roman"/>
              </w:rPr>
              <w:t>"Ochrona dziedzictwa kulturowego – aspekty prawne i praktyczne"</w:t>
            </w:r>
            <w:r>
              <w:rPr>
                <w:rFonts w:eastAsia="SimSun" w:cs="Times New Roman"/>
              </w:rPr>
              <w:br/>
              <w:t>Wydawnictwo Wolters Kluwer, Warszawa, 2019.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lineRule="auto" w:line="240" w:before="280" w:after="280"/>
              <w:rPr>
                <w:rFonts w:ascii="Times New Roman" w:hAnsi="Times New Roman" w:eastAsia="SimSun" w:cs="Times New Roman"/>
              </w:rPr>
            </w:pPr>
            <w:r>
              <w:rPr>
                <w:rFonts w:eastAsia="Symbol" w:cs="Symbol" w:ascii="Symbol" w:hAnsi="Symbol"/>
                <w:sz w:val="24"/>
              </w:rPr>
              <w:t>·</w:t>
            </w:r>
            <w:r>
              <w:rPr>
                <w:rFonts w:eastAsia="SimSun" w:cs="SimSun" w:ascii="SimSun" w:hAnsi="SimSun"/>
                <w:sz w:val="24"/>
              </w:rPr>
              <w:t xml:space="preserve">  </w:t>
            </w:r>
            <w:r>
              <w:rPr>
                <w:rStyle w:val="Strong"/>
                <w:rFonts w:eastAsia="SimSun" w:cs="Times New Roman"/>
              </w:rPr>
              <w:t>Guzowski, P. (red.)</w:t>
            </w:r>
            <w:r>
              <w:rPr>
                <w:rFonts w:eastAsia="SimSun" w:cs="Times New Roman"/>
              </w:rPr>
              <w:br/>
            </w:r>
            <w:r>
              <w:rPr>
                <w:rStyle w:val="Wyrnienie"/>
                <w:rFonts w:eastAsia="SimSun" w:cs="Times New Roman"/>
              </w:rPr>
              <w:t>"Dziedzictwo kulturowe w Polsce: ochrona, zarządzanie, edukacja"</w:t>
            </w:r>
            <w:r>
              <w:rPr>
                <w:rFonts w:eastAsia="SimSun" w:cs="Times New Roman"/>
              </w:rPr>
              <w:br/>
              <w:t>Wydawnictwo Naukowe UMK, Toruń, 2020.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lineRule="auto" w:line="240" w:before="280" w:after="0"/>
              <w:rPr>
                <w:rFonts w:ascii="Times New Roman" w:hAnsi="Times New Roman" w:eastAsia="SimSun" w:cs="Times New Roman"/>
              </w:rPr>
            </w:pPr>
            <w:r>
              <w:rPr>
                <w:rFonts w:eastAsia="Symbol" w:cs="Symbol" w:ascii="Symbol" w:hAnsi="Symbol"/>
                <w:sz w:val="24"/>
              </w:rPr>
              <w:t>·</w:t>
            </w:r>
            <w:r>
              <w:rPr>
                <w:rFonts w:eastAsia="SimSun" w:cs="SimSun" w:ascii="SimSun" w:hAnsi="SimSun"/>
                <w:sz w:val="24"/>
              </w:rPr>
              <w:t xml:space="preserve">  </w:t>
            </w:r>
            <w:r>
              <w:rPr>
                <w:rStyle w:val="Strong"/>
                <w:rFonts w:eastAsia="SimSun" w:cs="Times New Roman"/>
              </w:rPr>
              <w:t>Pietrzak, M.</w:t>
            </w:r>
            <w:r>
              <w:rPr>
                <w:rFonts w:eastAsia="SimSun" w:cs="Times New Roman"/>
              </w:rPr>
              <w:br/>
            </w:r>
            <w:r>
              <w:rPr>
                <w:rStyle w:val="Wyrnienie"/>
                <w:rFonts w:eastAsia="SimSun" w:cs="Times New Roman"/>
              </w:rPr>
              <w:t>"Ochrona zabytków w Polsce: prawo, polityka, praktyka"</w:t>
            </w:r>
            <w:r>
              <w:rPr>
                <w:rFonts w:eastAsia="SimSun" w:cs="Times New Roman"/>
              </w:rPr>
              <w:br/>
              <w:t>Wydawnictwo Archeologia, Warszawa, 2017.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/>
              <w:t>Literatura uzupełniająca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lineRule="auto" w:line="240" w:before="280" w:after="280"/>
              <w:rPr>
                <w:rFonts w:ascii="Times New Roman" w:hAnsi="Times New Roman" w:eastAsia="SimSun" w:cs="Times New Roman"/>
              </w:rPr>
            </w:pPr>
            <w:r>
              <w:rPr>
                <w:rFonts w:eastAsia="Symbol" w:cs="Symbol" w:ascii="Symbol" w:hAnsi="Symbol"/>
                <w:sz w:val="24"/>
              </w:rPr>
              <w:t>·</w:t>
            </w:r>
            <w:r>
              <w:rPr>
                <w:rFonts w:eastAsia="SimSun" w:cs="SimSun" w:ascii="SimSun" w:hAnsi="SimSun"/>
                <w:sz w:val="24"/>
              </w:rPr>
              <w:t xml:space="preserve">  </w:t>
            </w:r>
            <w:r>
              <w:rPr>
                <w:rStyle w:val="Strong"/>
                <w:rFonts w:eastAsia="SimSun" w:cs="Times New Roman"/>
              </w:rPr>
              <w:t>Laurajane Smith</w:t>
            </w:r>
            <w:r>
              <w:rPr>
                <w:rFonts w:eastAsia="SimSun" w:cs="Times New Roman"/>
              </w:rPr>
              <w:t xml:space="preserve">, </w:t>
            </w:r>
            <w:r>
              <w:rPr>
                <w:rStyle w:val="Wyrnienie"/>
                <w:rFonts w:eastAsia="SimSun" w:cs="Times New Roman"/>
              </w:rPr>
              <w:t>Uses of Heritage</w:t>
            </w:r>
            <w:r>
              <w:rPr>
                <w:rFonts w:eastAsia="SimSun" w:cs="Times New Roman"/>
              </w:rPr>
              <w:t>, Routledge, 2006.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lineRule="auto" w:line="240" w:before="280" w:after="280"/>
              <w:rPr>
                <w:rFonts w:ascii="Times New Roman" w:hAnsi="Times New Roman" w:eastAsia="SimSun" w:cs="Times New Roman"/>
              </w:rPr>
            </w:pPr>
            <w:r>
              <w:rPr>
                <w:rFonts w:eastAsia="Symbol" w:cs="Symbol" w:ascii="Symbol" w:hAnsi="Symbol"/>
                <w:sz w:val="24"/>
              </w:rPr>
              <w:t>·</w:t>
            </w:r>
            <w:r>
              <w:rPr>
                <w:rFonts w:eastAsia="SimSun" w:cs="SimSun" w:ascii="SimSun" w:hAnsi="SimSun"/>
                <w:sz w:val="24"/>
              </w:rPr>
              <w:t xml:space="preserve">  </w:t>
            </w:r>
            <w:r>
              <w:rPr>
                <w:rStyle w:val="Strong"/>
                <w:rFonts w:eastAsia="SimSun" w:cs="Times New Roman"/>
              </w:rPr>
              <w:t>UNESCO</w:t>
            </w:r>
            <w:r>
              <w:rPr>
                <w:rFonts w:eastAsia="SimSun" w:cs="Times New Roman"/>
              </w:rPr>
              <w:t xml:space="preserve">, </w:t>
            </w:r>
            <w:r>
              <w:rPr>
                <w:rStyle w:val="Wyrnienie"/>
                <w:rFonts w:eastAsia="SimSun" w:cs="Times New Roman"/>
              </w:rPr>
              <w:t>Operational Guidelines for the Implementation of the World Heritage Convention</w:t>
            </w:r>
            <w:r>
              <w:rPr>
                <w:rFonts w:eastAsia="SimSun" w:cs="Times New Roman"/>
              </w:rPr>
              <w:t>, UNESCO Publishing, 2021.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lineRule="auto" w:line="240" w:before="280" w:after="280"/>
              <w:rPr>
                <w:rFonts w:ascii="Times New Roman" w:hAnsi="Times New Roman" w:eastAsia="SimSun" w:cs="Times New Roman"/>
              </w:rPr>
            </w:pPr>
            <w:r>
              <w:rPr>
                <w:rFonts w:eastAsia="Symbol" w:cs="Symbol" w:ascii="Symbol" w:hAnsi="Symbol"/>
                <w:sz w:val="24"/>
              </w:rPr>
              <w:t>·</w:t>
            </w:r>
            <w:r>
              <w:rPr>
                <w:rFonts w:eastAsia="SimSun" w:cs="SimSun" w:ascii="SimSun" w:hAnsi="SimSun"/>
                <w:sz w:val="24"/>
              </w:rPr>
              <w:t xml:space="preserve">  </w:t>
            </w:r>
            <w:r>
              <w:rPr>
                <w:rStyle w:val="Strong"/>
                <w:rFonts w:eastAsia="SimSun" w:cs="Times New Roman"/>
              </w:rPr>
              <w:t>Peter Howard</w:t>
            </w:r>
            <w:r>
              <w:rPr>
                <w:rFonts w:eastAsia="SimSun" w:cs="Times New Roman"/>
              </w:rPr>
              <w:t xml:space="preserve">, </w:t>
            </w:r>
            <w:r>
              <w:rPr>
                <w:rStyle w:val="Wyrnienie"/>
                <w:rFonts w:eastAsia="SimSun" w:cs="Times New Roman"/>
              </w:rPr>
              <w:t>Heritage: Management, Interpretation, Identity</w:t>
            </w:r>
            <w:r>
              <w:rPr>
                <w:rFonts w:eastAsia="SimSun" w:cs="Times New Roman"/>
              </w:rPr>
              <w:t>, Bloomsbury Publishing, 2003.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lineRule="auto" w:line="240" w:before="280" w:after="280"/>
              <w:rPr>
                <w:rFonts w:ascii="Times New Roman" w:hAnsi="Times New Roman" w:eastAsia="SimSun" w:cs="Times New Roman"/>
              </w:rPr>
            </w:pPr>
            <w:r>
              <w:rPr>
                <w:rFonts w:eastAsia="Symbol" w:cs="Symbol" w:ascii="Symbol" w:hAnsi="Symbol"/>
                <w:sz w:val="24"/>
              </w:rPr>
              <w:t>·</w:t>
            </w:r>
            <w:r>
              <w:rPr>
                <w:rFonts w:eastAsia="SimSun" w:cs="SimSun" w:ascii="SimSun" w:hAnsi="SimSun"/>
                <w:sz w:val="24"/>
              </w:rPr>
              <w:t xml:space="preserve">  </w:t>
            </w:r>
            <w:r>
              <w:rPr>
                <w:rStyle w:val="Strong"/>
                <w:rFonts w:eastAsia="SimSun" w:cs="Times New Roman"/>
              </w:rPr>
              <w:t>Jokilehto Jukka</w:t>
            </w:r>
            <w:r>
              <w:rPr>
                <w:rFonts w:eastAsia="SimSun" w:cs="Times New Roman"/>
              </w:rPr>
              <w:t xml:space="preserve">, </w:t>
            </w:r>
            <w:r>
              <w:rPr>
                <w:rStyle w:val="Wyrnienie"/>
                <w:rFonts w:eastAsia="SimSun" w:cs="Times New Roman"/>
              </w:rPr>
              <w:t>A History of Architectural Conservation</w:t>
            </w:r>
            <w:r>
              <w:rPr>
                <w:rFonts w:eastAsia="SimSun" w:cs="Times New Roman"/>
              </w:rPr>
              <w:t>, Routledge, 2005.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lineRule="auto" w:line="240" w:before="280" w:after="280"/>
              <w:rPr>
                <w:rFonts w:ascii="Times New Roman" w:hAnsi="Times New Roman" w:eastAsia="SimSun" w:cs="Times New Roman"/>
              </w:rPr>
            </w:pPr>
            <w:r>
              <w:rPr>
                <w:rFonts w:eastAsia="Symbol" w:cs="Symbol" w:ascii="Symbol" w:hAnsi="Symbol"/>
                <w:sz w:val="24"/>
              </w:rPr>
              <w:t>·</w:t>
            </w:r>
            <w:r>
              <w:rPr>
                <w:rFonts w:eastAsia="SimSun" w:cs="SimSun" w:ascii="SimSun" w:hAnsi="SimSun"/>
                <w:sz w:val="24"/>
              </w:rPr>
              <w:t xml:space="preserve">  </w:t>
            </w:r>
            <w:r>
              <w:rPr>
                <w:rStyle w:val="Strong"/>
                <w:rFonts w:eastAsia="SimSun" w:cs="Times New Roman"/>
              </w:rPr>
              <w:t>William Logan, Máiréad Nic Craith, Ullrich Kockel (eds.)</w:t>
            </w:r>
            <w:r>
              <w:rPr>
                <w:rFonts w:eastAsia="SimSun" w:cs="Times New Roman"/>
              </w:rPr>
              <w:t xml:space="preserve">, </w:t>
            </w:r>
            <w:r>
              <w:rPr>
                <w:rStyle w:val="Wyrnienie"/>
                <w:rFonts w:eastAsia="SimSun" w:cs="Times New Roman"/>
              </w:rPr>
              <w:t>A Companion to Heritage Studies</w:t>
            </w:r>
            <w:r>
              <w:rPr>
                <w:rFonts w:eastAsia="SimSun" w:cs="Times New Roman"/>
              </w:rPr>
              <w:t>, Wiley-Blackwell, 2015.</w:t>
            </w:r>
          </w:p>
          <w:p>
            <w:pPr>
              <w:pStyle w:val="Nagwek3"/>
              <w:keepNext w:val="false"/>
              <w:keepLines w:val="false"/>
              <w:widowControl w:val="false"/>
              <w:suppressAutoHyphens w:val="true"/>
              <w:spacing w:lineRule="auto" w:line="240" w:before="280" w:after="280"/>
              <w:rPr>
                <w:lang w:val="pl-PL"/>
              </w:rPr>
            </w:pPr>
            <w:r>
              <w:rPr>
                <w:rStyle w:val="Strong"/>
                <w:rFonts w:cs="Times New Roman" w:ascii="Times New Roman" w:hAnsi="Times New Roman"/>
                <w:b/>
                <w:bCs/>
              </w:rPr>
              <w:t>Publikacje online i źródła dodatkowe</w:t>
            </w:r>
            <w:r>
              <w:rPr>
                <w:rStyle w:val="Strong"/>
                <w:rFonts w:cs="Times New Roman" w:ascii="Times New Roman" w:hAnsi="Times New Roman"/>
                <w:b/>
                <w:bCs/>
                <w:lang w:val="pl-PL"/>
              </w:rPr>
              <w:t>: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lineRule="auto" w:line="240" w:before="280" w:after="280"/>
              <w:ind w:left="720" w:right="0" w:hanging="0"/>
              <w:rPr>
                <w:rFonts w:ascii="Times New Roman" w:hAnsi="Times New Roman" w:eastAsia="SimSun" w:cs="Times New Roman"/>
              </w:rPr>
            </w:pPr>
            <w:r>
              <w:rPr>
                <w:rStyle w:val="Strong"/>
                <w:rFonts w:eastAsia="SimSun" w:cs="Times New Roman"/>
              </w:rPr>
              <w:t>Konwencja UNESCO w sprawie ochrony światowego dziedzictwa kulturowego i naturalnego (1972)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11"/>
              </w:numPr>
              <w:suppressAutoHyphens w:val="true"/>
              <w:spacing w:beforeAutospacing="1" w:afterAutospacing="1"/>
              <w:ind w:left="1440" w:right="0" w:hanging="360"/>
              <w:jc w:val="left"/>
              <w:rPr/>
            </w:pPr>
            <w:r>
              <w:rPr/>
              <w:t xml:space="preserve">Oficjalny tekst dostępny na stronie UNESCO: </w:t>
            </w:r>
            <w:hyperlink r:id="rId2" w:tgtFrame="_new">
              <w:r>
                <w:rPr>
                  <w:rStyle w:val="Czeinternetowe"/>
                </w:rPr>
                <w:t>https://whc.unesco.org</w:t>
              </w:r>
            </w:hyperlink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lineRule="auto" w:line="240" w:before="280" w:after="280"/>
              <w:ind w:left="720" w:right="0" w:hanging="0"/>
              <w:rPr>
                <w:rFonts w:ascii="Times New Roman" w:hAnsi="Times New Roman" w:eastAsia="SimSun" w:cs="Times New Roman"/>
              </w:rPr>
            </w:pPr>
            <w:r>
              <w:rPr>
                <w:rStyle w:val="Strong"/>
                <w:rFonts w:eastAsia="SimSun" w:cs="Times New Roman"/>
              </w:rPr>
              <w:t>Narodowy Instytut Dziedzictwa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16"/>
              </w:numPr>
              <w:tabs>
                <w:tab w:val="clear" w:pos="708"/>
                <w:tab w:val="left" w:pos="1440" w:leader="none"/>
              </w:tabs>
              <w:suppressAutoHyphens w:val="true"/>
              <w:spacing w:beforeAutospacing="1" w:afterAutospacing="1"/>
              <w:ind w:left="1440" w:right="0" w:hanging="360"/>
              <w:jc w:val="left"/>
              <w:rPr/>
            </w:pPr>
            <w:r>
              <w:rPr/>
              <w:t xml:space="preserve">Baza wiedzy o ochronie dziedzictwa w Polsce: </w:t>
            </w:r>
            <w:hyperlink r:id="rId3" w:tgtFrame="_new">
              <w:r>
                <w:rPr>
                  <w:rStyle w:val="Czeinternetowe"/>
                </w:rPr>
                <w:t>https://nid.pl</w:t>
              </w:r>
            </w:hyperlink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lineRule="auto" w:line="240" w:before="280" w:after="280"/>
              <w:ind w:left="720" w:right="0" w:hanging="0"/>
              <w:rPr>
                <w:rFonts w:ascii="Times New Roman" w:hAnsi="Times New Roman" w:eastAsia="SimSun" w:cs="Times New Roman"/>
              </w:rPr>
            </w:pPr>
            <w:r>
              <w:rPr>
                <w:rStyle w:val="Strong"/>
                <w:rFonts w:eastAsia="SimSun" w:cs="Times New Roman"/>
              </w:rPr>
              <w:t>Międzynarodowa Rada Ochrony Zabytków i Miejsc Historycznych (ICOMOS)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17"/>
              </w:numPr>
              <w:tabs>
                <w:tab w:val="clear" w:pos="708"/>
                <w:tab w:val="left" w:pos="1440" w:leader="none"/>
              </w:tabs>
              <w:suppressAutoHyphens w:val="true"/>
              <w:spacing w:beforeAutospacing="1" w:afterAutospacing="1"/>
              <w:ind w:left="1440" w:right="0" w:hanging="360"/>
              <w:jc w:val="left"/>
              <w:rPr/>
            </w:pPr>
            <w:r>
              <w:rPr/>
              <w:t xml:space="preserve">Publikacje i wytyczne dotyczące ochrony dziedzictwa: </w:t>
            </w:r>
            <w:hyperlink r:id="rId4" w:tgtFrame="_new">
              <w:r>
                <w:rPr>
                  <w:rStyle w:val="Czeinternetowe"/>
                </w:rPr>
                <w:t>https://www.icomos.org</w:t>
              </w:r>
            </w:hyperlink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lineRule="auto" w:line="240" w:before="280" w:after="280"/>
              <w:ind w:left="720" w:right="0" w:hanging="0"/>
              <w:rPr>
                <w:rFonts w:ascii="Times New Roman" w:hAnsi="Times New Roman" w:eastAsia="SimSun" w:cs="Times New Roman"/>
              </w:rPr>
            </w:pPr>
            <w:r>
              <w:rPr>
                <w:rStyle w:val="Strong"/>
                <w:rFonts w:eastAsia="SimSun" w:cs="Times New Roman"/>
              </w:rPr>
              <w:t>Ministerstwo Kultury i Dziedzictwa Narodowego (Polska)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18"/>
              </w:numPr>
              <w:tabs>
                <w:tab w:val="clear" w:pos="708"/>
                <w:tab w:val="left" w:pos="1440" w:leader="none"/>
              </w:tabs>
              <w:suppressAutoHyphens w:val="true"/>
              <w:spacing w:beforeAutospacing="1" w:afterAutospacing="1"/>
              <w:ind w:left="1440" w:right="0" w:hanging="360"/>
              <w:jc w:val="left"/>
              <w:rPr/>
            </w:pPr>
            <w:r>
              <w:rPr/>
              <w:t>Informacje i raporty dotyczące działań na rzecz ochrony dziedzictwa: https://www.gov.pl/web/kultura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</w:rPr>
            </w:pPr>
            <w:r>
              <w:rPr>
                <w:b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imSu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Nagwek3">
    <w:name w:val="Heading 3"/>
    <w:next w:val="Normal"/>
    <w:uiPriority w:val="9"/>
    <w:semiHidden/>
    <w:unhideWhenUsed/>
    <w:qFormat/>
    <w:pPr>
      <w:widowControl/>
      <w:suppressAutoHyphens w:val="true"/>
      <w:bidi w:val="0"/>
      <w:spacing w:beforeAutospacing="1" w:afterAutospacing="1"/>
      <w:jc w:val="left"/>
    </w:pPr>
    <w:rPr>
      <w:rFonts w:ascii="SimSun" w:hAnsi="SimSun" w:eastAsia="SimSun" w:cs="SimSun"/>
      <w:b/>
      <w:bCs/>
      <w:color w:val="auto"/>
      <w:kern w:val="0"/>
      <w:sz w:val="26"/>
      <w:szCs w:val="26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Emphasis"/>
    <w:basedOn w:val="DefaultParagraphFont"/>
    <w:uiPriority w:val="20"/>
    <w:qFormat/>
    <w:rPr>
      <w:i/>
      <w:iCs/>
    </w:rPr>
  </w:style>
  <w:style w:type="character" w:styleId="Czeinternetowe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Rynqvb" w:customStyle="1">
    <w:name w:val="rynqvb"/>
    <w:basedOn w:val="DefaultParagraphFont"/>
    <w:uiPriority w:val="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uiPriority w:val="99"/>
    <w:semiHidden/>
    <w:unhideWhenUsed/>
    <w:qFormat/>
    <w:pPr>
      <w:widowControl/>
      <w:suppressAutoHyphens w:val="true"/>
      <w:bidi w:val="0"/>
      <w:spacing w:beforeAutospacing="1" w:afterAutospacing="1"/>
      <w:ind w:left="0" w:right="0" w:hanging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table" w:default="1" w:styleId="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hc.unesco.org/" TargetMode="External"/><Relationship Id="rId3" Type="http://schemas.openxmlformats.org/officeDocument/2006/relationships/hyperlink" Target="https://nid.pl/" TargetMode="External"/><Relationship Id="rId4" Type="http://schemas.openxmlformats.org/officeDocument/2006/relationships/hyperlink" Target="https://www.icomos.org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LibreOffice/7.5.6.2$Windows_X86_64 LibreOffice_project/f654817fb68d6d4600d7d2f6b647e47729f55f15</Application>
  <AppVersion>15.0000</AppVersion>
  <Pages>4</Pages>
  <Words>1243</Words>
  <Characters>8348</Characters>
  <CharactersWithSpaces>9386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2024-12-05T09:31:00Z</dcterms:created>
  <dc:creator>Andrzej Niewiński</dc:creator>
  <dc:description/>
  <dc:language>pl-PL</dc:language>
  <cp:lastModifiedBy>Admin</cp:lastModifiedBy>
  <dcterms:modified xsi:type="dcterms:W3CDTF">2024-12-05T12:52:10Z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9E40E994E0334A92B7C9FDF61A6D732A_12</vt:lpwstr>
  </property>
  <property fmtid="{D5CDD505-2E9C-101B-9397-08002B2CF9AE}" pid="3" name="KSOProductBuildVer">
    <vt:lpwstr>1045-12.2.0.18911</vt:lpwstr>
  </property>
</Properties>
</file>