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Ochrona osób, mienia i infrastruktury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Protection of persons, property and infrastructure.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>
          <w:trHeight w:val="322" w:hRule="atLeast"/>
        </w:trPr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Andrzej Sikora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przedmiotem i powszechnym bezpieczeństwem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Zapoznanie studentów z obowiązującymi podstawami  prawnymi w zakresie ochrony osób i mienia oraz infrastruktury krytycznej.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Praktyczne przekazanie wiedzy studentom w zakresie ochrony osób i mienia oraz infrastruktury krytycznej.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Uwrażliwienie studentów na problematykę ochrony osób i mienia oraz infrastruktury krytycznej.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zarówno w skali społecznej, ogólnopaństwowej, jak i międzynarodowej w zakresie zagrożeń mienia i infrastruktury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elementy planu ochrony obiektów,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dotyczącą ochrony mienia i infrastruktury obiektu  przy pomocy odpowiednich metod, technik i narzędzi badawczych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odnoszących się bezpieczeństwa mienia, osób i infrastruktury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budować strategie działań w zakresie planu ochrony obiektu oraz  zdiagnozować zagrożenia płynące z otoczenia strzeżonego obiektu i w miarę możliwości przedsięwziąć środki zaradcze.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K_U02, K_U03,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samodzielnie dokonać oceny stanu bezpieczeństwa obiektu  chroninego lub obiektu infrastruktury krytycznej oraz planować działania zespołowe w tym zakresie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K_U08,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myślenia oraz działania w sposób przedsiębiorczy i prospołeczny w zakresie przedsięwzięć dotyczących ochrony osób, mienia i infrastruktury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Omówienie bezpieczeństwa obiektów i infrastruktury krytycznej i przedstawienie jej znaczenie dla bezpieczeństwa państwa, zdrowia i życia obywateli.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Omówienie sposobów ochrony mienia i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Ogólne zasady organizowania i prowadzenia ochrony osób i mienia oraz ochrony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dla bezpieczeństwa osób. Metody i taktyka ochrony osób.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Wykorzystanie środków zabezpieczenia technicznego w ochronie osób, mienia i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dla obiektów oraz planowanie związanej z nimi ochrony.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Opracowywanie planów ochrony.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Opracowywanie instrukcji bezpieczeństwa.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Zapoznanie studentów z obowiązującymi przepisami prawnymi w dziedzinie ochrony osób           i mienia oraz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Przedstawienie różnic w obowiązujących przepisach prawnych, dot., ochrony osób i mienia          i ochrony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Ochrona obiektów podstawowych dla funkcjonowania państwa.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Ogólne zasady organizowania i prowadzenia ochrony osób i mienia.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dla bezpieczeństwa osób.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i środki używane do ataków na osoby i sposoby przeciwdziałania.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Organizacja ochrony osobistej i taktyka ochrony osób.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dla obiektów oraz planowanie związanej z nimi ochrony.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Opracowywanie planów ochrony oraz procedur bezpieczeństwa.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Ochrona wartości pieniężnych.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Konwojowanie i jego zasady.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Zasady użycia broni palnej i środków przymusu bezpośredniego.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z Policją, służbami publicznymi oraz instytucjami w zakresie bezpieczeństwa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ochrony osób, mienia i infrastruktury.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Ochrona imprez masowych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konwersatoryjny, dyskusja,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konwersatoryjny, dyskusja,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Zaliczenie/zaliczenie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Ocena ustna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Protokół, obserwacja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praktyczne, 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ocenić krytycznie przedstawioną mu dokumentację ochronną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 xml:space="preserve">Student nie osiągnął założonego efektu (ocena 2,0), 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>Student wykazuje dostateczny (3,0) stopień wiedzy/umiejętności.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 xml:space="preserve">Student wykazuje plus dostateczny (3,5) stopień wiedzy/umiejętności, 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 xml:space="preserve">Student wykazuje dobry stopień (4,0) wiedzy/umiejętności,  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 xml:space="preserve">Student wykazuje plus dobry stopień (4,5) wiedzy/umiejętności, 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/>
        <w:t xml:space="preserve">           </w:t>
      </w:r>
      <w:r>
        <w:rPr/>
        <w:t>Student wykazuje bardzo dobry stopień (5,0)</w:t>
      </w:r>
    </w:p>
    <w:p>
      <w:pPr>
        <w:pStyle w:val="Normal"/>
        <w:spacing w:lineRule="auto" w:line="240" w:before="0" w:after="200"/>
        <w:ind w:left="-510" w:hanging="0"/>
        <w:contextualSpacing/>
        <w:rPr>
          <w:b/>
        </w:rPr>
      </w:pPr>
      <w:r>
        <w:rPr>
          <w:b/>
        </w:rPr>
        <w:t xml:space="preserve">                </w:t>
      </w:r>
      <w:r>
        <w:rPr>
          <w:b/>
        </w:rPr>
        <w:t>VII.        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ListParagraph"/>
        <w:ind w:left="397" w:hanging="0"/>
        <w:rPr>
          <w:b/>
        </w:rPr>
      </w:pPr>
      <w:r>
        <w:rPr>
          <w:b/>
        </w:rPr>
      </w:r>
    </w:p>
    <w:p>
      <w:pPr>
        <w:pStyle w:val="ListParagraph"/>
        <w:ind w:left="170" w:hanging="0"/>
        <w:rPr>
          <w:b/>
        </w:rPr>
      </w:pPr>
      <w:r>
        <w:rPr>
          <w:b/>
        </w:rPr>
        <w:t xml:space="preserve"> </w:t>
      </w:r>
      <w:r>
        <w:rPr>
          <w:b/>
        </w:rPr>
        <w:t>VIII.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Tyburska A., Nepelski M., Ochrona infrastruktury krytycznej,  wyd. Wyższej Szkoły Policji w Szczytnie, Szczytno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Wójtowicz W., Bezpieczeństwo infrastruktury krytycznej,  wyd. Ministerstwo Obrony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Narodowej, 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Karabin J., Seruga W.,  Stawski M., Stawski W., Zaborski M., Organizacja ochrony osób i mienia oraz taktyka i dokumentowanie działań ochronnych, wyd. Hortpress Warszawa 2002.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Grzeszyk Cz., Vademecum agenta ochrony i detektywa,  wyd. „Crimen” Warszawa 1996.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LibreOffice/7.5.6.2$Windows_X86_64 LibreOffice_project/f654817fb68d6d4600d7d2f6b647e47729f55f15</Application>
  <AppVersion>15.0000</AppVersion>
  <Pages>4</Pages>
  <Words>717</Words>
  <Characters>5186</Characters>
  <CharactersWithSpaces>5866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2024-12-15T13:41:00Z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