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  <w:b/>
        </w:rPr>
        <w:t xml:space="preserve">KARTA PRZEDMIOTU </w:t>
      </w:r>
    </w:p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ListParagraph"/>
        <w:numPr>
          <w:ilvl w:val="0"/>
          <w:numId w:val="1"/>
        </w:numPr>
        <w:rPr>
          <w:rFonts w:cs="Calibri" w:cstheme="minorHAnsi"/>
          <w:b/>
        </w:rPr>
      </w:pPr>
      <w:r>
        <w:rPr>
          <w:rFonts w:cs="Calibri" w:cstheme="minorHAnsi"/>
          <w:b/>
        </w:rPr>
        <w:t>Dane podstawowe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31"/>
        <w:gridCol w:w="4530"/>
      </w:tblGrid>
      <w:tr>
        <w:trPr/>
        <w:tc>
          <w:tcPr>
            <w:tcW w:w="453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Nazwa przedmiotu</w:t>
            </w:r>
          </w:p>
        </w:tc>
        <w:tc>
          <w:tcPr>
            <w:tcW w:w="453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Bezpieczeństwo w Europie Wschodniej</w:t>
            </w:r>
          </w:p>
        </w:tc>
      </w:tr>
      <w:tr>
        <w:trPr/>
        <w:tc>
          <w:tcPr>
            <w:tcW w:w="453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Nazwa przedmiotu w języku angielskim</w:t>
            </w:r>
          </w:p>
        </w:tc>
        <w:tc>
          <w:tcPr>
            <w:tcW w:w="453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Security in Eastern Europe</w:t>
            </w:r>
          </w:p>
        </w:tc>
      </w:tr>
      <w:tr>
        <w:trPr/>
        <w:tc>
          <w:tcPr>
            <w:tcW w:w="453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Kierunek studiów </w:t>
            </w:r>
          </w:p>
        </w:tc>
        <w:tc>
          <w:tcPr>
            <w:tcW w:w="453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Bezpieczeństwo narodowe</w:t>
            </w:r>
          </w:p>
        </w:tc>
      </w:tr>
      <w:tr>
        <w:trPr/>
        <w:tc>
          <w:tcPr>
            <w:tcW w:w="453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Poziom studiów (I, II, jednolite magisterskie)</w:t>
            </w:r>
          </w:p>
        </w:tc>
        <w:tc>
          <w:tcPr>
            <w:tcW w:w="453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I stopień</w:t>
            </w:r>
          </w:p>
        </w:tc>
      </w:tr>
      <w:tr>
        <w:trPr/>
        <w:tc>
          <w:tcPr>
            <w:tcW w:w="453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Forma studiów (stacjonarne, niestacjonarne)</w:t>
            </w:r>
          </w:p>
        </w:tc>
        <w:tc>
          <w:tcPr>
            <w:tcW w:w="453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stacjonarne I stopnia</w:t>
            </w:r>
          </w:p>
        </w:tc>
      </w:tr>
      <w:tr>
        <w:trPr/>
        <w:tc>
          <w:tcPr>
            <w:tcW w:w="453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Dyscyplina</w:t>
            </w:r>
          </w:p>
        </w:tc>
        <w:tc>
          <w:tcPr>
            <w:tcW w:w="453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nauki o polityce i administracji</w:t>
            </w:r>
          </w:p>
        </w:tc>
      </w:tr>
      <w:tr>
        <w:trPr/>
        <w:tc>
          <w:tcPr>
            <w:tcW w:w="453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Język wykładowy</w:t>
            </w:r>
          </w:p>
        </w:tc>
        <w:tc>
          <w:tcPr>
            <w:tcW w:w="453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Polski</w:t>
            </w:r>
          </w:p>
        </w:tc>
      </w:tr>
    </w:tbl>
    <w:p>
      <w:pPr>
        <w:pStyle w:val="Normal"/>
        <w:spacing w:before="0" w:after="0"/>
        <w:rPr>
          <w:rFonts w:cs="Calibri" w:cstheme="minorHAnsi"/>
        </w:rPr>
      </w:pPr>
      <w:r>
        <w:rPr>
          <w:rFonts w:cs="Calibri" w:cstheme="minorHAnsi"/>
        </w:rPr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38"/>
        <w:gridCol w:w="4523"/>
      </w:tblGrid>
      <w:tr>
        <w:trPr/>
        <w:tc>
          <w:tcPr>
            <w:tcW w:w="4538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Koordynator przedmiotu/osoba odpowiedzialna</w:t>
            </w:r>
          </w:p>
        </w:tc>
        <w:tc>
          <w:tcPr>
            <w:tcW w:w="452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color w:val="222222"/>
                <w:kern w:val="0"/>
                <w:sz w:val="22"/>
                <w:szCs w:val="22"/>
                <w:shd w:fill="FFFFFF" w:val="clear"/>
                <w:lang w:val="pl-PL" w:eastAsia="en-US" w:bidi="ar-SA"/>
              </w:rPr>
              <w:t>Dr hab. Tomasz Stępniewski, prof. KUL</w:t>
            </w:r>
          </w:p>
        </w:tc>
      </w:tr>
    </w:tbl>
    <w:p>
      <w:pPr>
        <w:pStyle w:val="Normal"/>
        <w:spacing w:before="0" w:after="0"/>
        <w:rPr>
          <w:rFonts w:cs="Calibri" w:cstheme="minorHAnsi"/>
        </w:rPr>
      </w:pPr>
      <w:r>
        <w:rPr>
          <w:rFonts w:cs="Calibri" w:cstheme="minorHAnsi"/>
        </w:rPr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85"/>
        <w:gridCol w:w="2257"/>
        <w:gridCol w:w="2261"/>
        <w:gridCol w:w="2258"/>
      </w:tblGrid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Forma zajęć </w:t>
            </w:r>
            <w:r>
              <w:rPr>
                <w:rFonts w:eastAsia="Calibri" w:cs="Calibri" w:cstheme="minorHAnsi"/>
                <w:i/>
                <w:kern w:val="0"/>
                <w:sz w:val="22"/>
                <w:szCs w:val="22"/>
                <w:lang w:val="pl-PL" w:eastAsia="en-US" w:bidi="ar-SA"/>
              </w:rPr>
              <w:t>(katalog zamknięty ze słownika)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Liczba godzin</w:t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semestr</w:t>
            </w:r>
          </w:p>
        </w:tc>
        <w:tc>
          <w:tcPr>
            <w:tcW w:w="2258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Punkty ECTS</w:t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wykład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3</w:t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konwersatorium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30</w:t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5</w:t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ćwiczenia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laboratorium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warsztaty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seminarium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proseminarium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lektorat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praktyki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zajęcia terenowe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pracownia dyplomowa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translatorium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  <w:tr>
        <w:trPr/>
        <w:tc>
          <w:tcPr>
            <w:tcW w:w="228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wizyta studyjna</w:t>
            </w:r>
          </w:p>
        </w:tc>
        <w:tc>
          <w:tcPr>
            <w:tcW w:w="225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6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  <w:tc>
          <w:tcPr>
            <w:tcW w:w="2258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cs="Calibri" w:cstheme="minorHAnsi"/>
              </w:rPr>
            </w:r>
          </w:p>
        </w:tc>
      </w:tr>
    </w:tbl>
    <w:p>
      <w:pPr>
        <w:pStyle w:val="Normal"/>
        <w:spacing w:before="0" w:after="0"/>
        <w:rPr>
          <w:rFonts w:cs="Calibri" w:cstheme="minorHAnsi"/>
        </w:rPr>
      </w:pPr>
      <w:r>
        <w:rPr>
          <w:rFonts w:cs="Calibri" w:cstheme="minorHAnsi"/>
        </w:rPr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12"/>
        <w:gridCol w:w="6849"/>
      </w:tblGrid>
      <w:tr>
        <w:trPr/>
        <w:tc>
          <w:tcPr>
            <w:tcW w:w="2212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Wymagania wstępne</w:t>
            </w:r>
          </w:p>
        </w:tc>
        <w:tc>
          <w:tcPr>
            <w:tcW w:w="684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Brak</w:t>
            </w:r>
          </w:p>
        </w:tc>
      </w:tr>
    </w:tbl>
    <w:p>
      <w:pPr>
        <w:pStyle w:val="Normal"/>
        <w:spacing w:before="0" w:after="0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spacing w:before="0" w:after="0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1"/>
        </w:numPr>
        <w:rPr>
          <w:rFonts w:cs="Calibri" w:cstheme="minorHAnsi"/>
          <w:b/>
        </w:rPr>
      </w:pPr>
      <w:r>
        <w:rPr>
          <w:rFonts w:cs="Calibri" w:cstheme="minorHAnsi"/>
          <w:b/>
        </w:rPr>
        <w:t xml:space="preserve">Cele kształcenia dla przedmiotu 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62"/>
      </w:tblGrid>
      <w:tr>
        <w:trPr/>
        <w:tc>
          <w:tcPr>
            <w:tcW w:w="906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  <w:bCs/>
              </w:rPr>
            </w:pPr>
            <w:r>
              <w:rPr>
                <w:rFonts w:eastAsia="Calibri" w:cs="Calibri" w:cstheme="minorHAnsi"/>
                <w:bCs/>
                <w:kern w:val="0"/>
                <w:sz w:val="22"/>
                <w:szCs w:val="22"/>
                <w:lang w:val="pl-PL" w:eastAsia="en-US" w:bidi="ar-SA"/>
              </w:rPr>
              <w:t>Celem zajęć jest wskazanie studentom problemów i wyzwań w Europie Wschodniej w międzynarodowym systemie bezpieczeństwa.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  <w:bCs/>
              </w:rPr>
            </w:pPr>
            <w:r>
              <w:rPr>
                <w:rFonts w:eastAsia="Calibri" w:cs="Calibri" w:cstheme="minorHAnsi"/>
                <w:bCs/>
                <w:kern w:val="0"/>
                <w:sz w:val="22"/>
                <w:szCs w:val="22"/>
                <w:lang w:val="pl-PL" w:eastAsia="en-US" w:bidi="ar-SA"/>
              </w:rPr>
              <w:t>Celem zajęć jest wprowadzenie pojęć, słownictwa i teorii międzynarodowego systemu bezpieczeństwa w odniesieniu do bezpieczeństwa w Europie Wschodniej.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Celem zajęć jest w</w:t>
            </w:r>
            <w:r>
              <w:rPr>
                <w:rFonts w:eastAsia="Calibri" w:cs="Calibri" w:cstheme="minorHAnsi"/>
                <w:bCs/>
                <w:kern w:val="0"/>
                <w:sz w:val="22"/>
                <w:szCs w:val="22"/>
                <w:lang w:val="pl-PL" w:eastAsia="en-US" w:bidi="ar-SA"/>
              </w:rPr>
              <w:t>ykorzystanie tych koncepcji i teorii do analizy współczesnych wyzwań związanych z różnymi sektorami bezpieczeństwa w Europie Wschodniej.</w:t>
            </w:r>
          </w:p>
        </w:tc>
      </w:tr>
    </w:tbl>
    <w:p>
      <w:pPr>
        <w:pStyle w:val="Normal"/>
        <w:spacing w:before="0" w:after="0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  <w:r>
        <w:br w:type="page"/>
      </w:r>
    </w:p>
    <w:p>
      <w:pPr>
        <w:pStyle w:val="Normal"/>
        <w:spacing w:before="0" w:after="0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1"/>
        </w:numPr>
        <w:rPr>
          <w:rFonts w:cs="Calibri" w:cstheme="minorHAnsi"/>
          <w:b/>
        </w:rPr>
      </w:pPr>
      <w:r>
        <w:rPr>
          <w:rFonts w:cs="Calibri" w:cstheme="minorHAnsi"/>
          <w:b/>
        </w:rPr>
        <w:t>Efekty uczenia się dla przedmiotu wraz z odniesieniem do efektów kierunkowych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91"/>
        <w:gridCol w:w="5834"/>
        <w:gridCol w:w="2137"/>
      </w:tblGrid>
      <w:tr>
        <w:trPr/>
        <w:tc>
          <w:tcPr>
            <w:tcW w:w="109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Symbol</w:t>
            </w:r>
          </w:p>
        </w:tc>
        <w:tc>
          <w:tcPr>
            <w:tcW w:w="5834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Opis efektu przedmiotowego</w:t>
            </w:r>
          </w:p>
        </w:tc>
        <w:tc>
          <w:tcPr>
            <w:tcW w:w="2137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Odniesienie do efektu kierunkowego</w:t>
            </w:r>
          </w:p>
        </w:tc>
      </w:tr>
      <w:tr>
        <w:trPr/>
        <w:tc>
          <w:tcPr>
            <w:tcW w:w="906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583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Absolwent posiada wiedzę dotyczącą zjawisk politycznych i społecznych w regionie Europy Środkowej,  wzajemnych relacji pomiędzy nimi, przyczyn i skutków</w:t>
            </w:r>
          </w:p>
        </w:tc>
        <w:tc>
          <w:tcPr>
            <w:tcW w:w="213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W_01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W_02</w:t>
            </w:r>
          </w:p>
        </w:tc>
        <w:tc>
          <w:tcPr>
            <w:tcW w:w="583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Absolwent posiada wiedzę na temat uwarunkowań systemu bezpieczeństwa w regionie Europy Wschodniej oraz roli instytucji międzynarodowych w dziedzinie bezpieczeństwa</w:t>
            </w:r>
          </w:p>
        </w:tc>
        <w:tc>
          <w:tcPr>
            <w:tcW w:w="213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W_05</w:t>
            </w:r>
          </w:p>
        </w:tc>
      </w:tr>
      <w:tr>
        <w:trPr/>
        <w:tc>
          <w:tcPr>
            <w:tcW w:w="906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583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Absolwent potrafi zdefiniować współczesne wyzwania związane z różnymi sektorami bezpieczeństwa na poziomie państwa i regionu</w:t>
            </w:r>
          </w:p>
        </w:tc>
        <w:tc>
          <w:tcPr>
            <w:tcW w:w="213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U_01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U_02</w:t>
            </w:r>
          </w:p>
        </w:tc>
        <w:tc>
          <w:tcPr>
            <w:tcW w:w="583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Absolwent potrafi zastosować koncepcje i teorie do analizy problemów bezpieczeństwa, prawidłowo oceniać zagrożenia oraz identyfikować ich przyczyny</w:t>
            </w:r>
          </w:p>
        </w:tc>
        <w:tc>
          <w:tcPr>
            <w:tcW w:w="213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U_03</w:t>
            </w:r>
          </w:p>
        </w:tc>
      </w:tr>
      <w:tr>
        <w:trPr/>
        <w:tc>
          <w:tcPr>
            <w:tcW w:w="906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K_01</w:t>
            </w:r>
          </w:p>
        </w:tc>
        <w:tc>
          <w:tcPr>
            <w:tcW w:w="583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Absolwent potrafi działać w sytuacjach w sytuacjach kryzysowych</w:t>
            </w:r>
          </w:p>
        </w:tc>
        <w:tc>
          <w:tcPr>
            <w:tcW w:w="213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K_02</w:t>
            </w:r>
          </w:p>
        </w:tc>
      </w:tr>
    </w:tbl>
    <w:p>
      <w:pPr>
        <w:pStyle w:val="ListParagraph"/>
        <w:ind w:left="1080" w:hanging="0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ListParagraph"/>
        <w:numPr>
          <w:ilvl w:val="0"/>
          <w:numId w:val="1"/>
        </w:numPr>
        <w:rPr>
          <w:rFonts w:cs="Calibri" w:cstheme="minorHAnsi"/>
          <w:b/>
        </w:rPr>
      </w:pPr>
      <w:r>
        <w:rPr>
          <w:rFonts w:cs="Calibri" w:cstheme="minorHAnsi"/>
          <w:b/>
        </w:rPr>
        <w:t>Opis przedmiotu/ treści programowe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62"/>
      </w:tblGrid>
      <w:tr>
        <w:trPr/>
        <w:tc>
          <w:tcPr>
            <w:tcW w:w="9062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Uwarunkowania sytuacji na obszarze poradzieckim.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Integracja gospodarcza i polityczna na obszarze poradzieckim. 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System bezpieczeństwa na obszarze Wspólnoty Niepodległych Państw 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Bezpieczeństwo energetyczne na obszarze poradzieckim. 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Polityka bezpieczeństwa państw Europy Wschodniej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Polityka bezpieczeństwa państw Kaukazu Południowego. 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Polityka bezpieczeństwa państw Azji Centralnej.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Uwarunkowania polityki zagranicznej Rosji (złożoność problematyki identyfikacyjnej nowej Rosji; różnice w interpretacji tożsamości rosyjskiej)  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cs="Calibri" w:cstheme="minorHAnsi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Polityka Rosji wobec Wspólnoty Niepodległych Państw</w:t>
            </w:r>
          </w:p>
        </w:tc>
      </w:tr>
    </w:tbl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ListParagraph"/>
        <w:numPr>
          <w:ilvl w:val="0"/>
          <w:numId w:val="1"/>
        </w:numPr>
        <w:rPr>
          <w:rFonts w:cs="Calibri" w:cstheme="minorHAnsi"/>
          <w:b/>
        </w:rPr>
      </w:pPr>
      <w:r>
        <w:rPr>
          <w:rFonts w:cs="Calibri" w:cstheme="minorHAnsi"/>
          <w:b/>
        </w:rPr>
        <w:t>Metody realizacji i weryfikacji efektów uczenia się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91"/>
        <w:gridCol w:w="2647"/>
        <w:gridCol w:w="2780"/>
        <w:gridCol w:w="2543"/>
      </w:tblGrid>
      <w:tr>
        <w:trPr/>
        <w:tc>
          <w:tcPr>
            <w:tcW w:w="109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Symbol efektu</w:t>
            </w:r>
          </w:p>
        </w:tc>
        <w:tc>
          <w:tcPr>
            <w:tcW w:w="2647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Metody dydaktyczne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i/>
                <w:kern w:val="0"/>
                <w:sz w:val="22"/>
                <w:szCs w:val="22"/>
                <w:lang w:val="pl-PL" w:eastAsia="en-US" w:bidi="ar-SA"/>
              </w:rPr>
              <w:t>(lista wyboru)</w:t>
            </w:r>
          </w:p>
        </w:tc>
        <w:tc>
          <w:tcPr>
            <w:tcW w:w="2780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Metody weryfikacji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i/>
                <w:kern w:val="0"/>
                <w:sz w:val="22"/>
                <w:szCs w:val="22"/>
                <w:lang w:val="pl-PL" w:eastAsia="en-US" w:bidi="ar-SA"/>
              </w:rPr>
              <w:t>(lista wyboru)</w:t>
            </w:r>
          </w:p>
        </w:tc>
        <w:tc>
          <w:tcPr>
            <w:tcW w:w="254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Sposoby dokumentacji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i/>
                <w:kern w:val="0"/>
                <w:sz w:val="22"/>
                <w:szCs w:val="22"/>
                <w:lang w:val="pl-PL" w:eastAsia="en-US" w:bidi="ar-SA"/>
              </w:rPr>
              <w:t>(lista wyboru)</w:t>
            </w:r>
          </w:p>
        </w:tc>
      </w:tr>
      <w:tr>
        <w:trPr>
          <w:trHeight w:val="574" w:hRule="atLeast"/>
        </w:trPr>
        <w:tc>
          <w:tcPr>
            <w:tcW w:w="9061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Dyskusja, praca w grupach, online service, udział w konferencjach i wykładach</w:t>
            </w:r>
          </w:p>
        </w:tc>
        <w:tc>
          <w:tcPr>
            <w:tcW w:w="278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Zaliczenie </w:t>
            </w:r>
          </w:p>
        </w:tc>
        <w:tc>
          <w:tcPr>
            <w:tcW w:w="25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W_02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Dyskusja, praca w grupach, online service, udział w konferencjach i wykładach</w:t>
            </w:r>
          </w:p>
        </w:tc>
        <w:tc>
          <w:tcPr>
            <w:tcW w:w="278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9061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Dyskusja, praca w grupach, online service, udział w konferencjach i wykładach</w:t>
            </w:r>
          </w:p>
        </w:tc>
        <w:tc>
          <w:tcPr>
            <w:tcW w:w="278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U_02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Dyskusja, praca w grupach, online service, udział w konferencjach i wykładach</w:t>
            </w:r>
          </w:p>
        </w:tc>
        <w:tc>
          <w:tcPr>
            <w:tcW w:w="278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9061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before="0" w:after="200"/>
              <w:jc w:val="center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109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K_01</w:t>
            </w:r>
          </w:p>
        </w:tc>
        <w:tc>
          <w:tcPr>
            <w:tcW w:w="264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Dyskusja, praca w grupach, online service, udział w konferencjach i wykładach</w:t>
            </w:r>
          </w:p>
        </w:tc>
        <w:tc>
          <w:tcPr>
            <w:tcW w:w="278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</w:tbl>
    <w:p>
      <w:pPr>
        <w:pStyle w:val="Normal"/>
        <w:spacing w:before="0" w:after="0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ind w:left="1080" w:hanging="0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ListParagraph"/>
        <w:numPr>
          <w:ilvl w:val="0"/>
          <w:numId w:val="1"/>
        </w:numPr>
        <w:rPr>
          <w:rFonts w:cs="Calibri" w:cstheme="minorHAnsi"/>
          <w:b/>
        </w:rPr>
      </w:pPr>
      <w:r>
        <w:rPr>
          <w:rFonts w:cs="Calibri" w:cstheme="minorHAnsi"/>
          <w:b/>
        </w:rPr>
        <w:t>Kryteria oceny, wagi…</w:t>
      </w:r>
    </w:p>
    <w:p>
      <w:pPr>
        <w:pStyle w:val="Normal"/>
        <w:ind w:left="360" w:hanging="0"/>
        <w:rPr>
          <w:rFonts w:cs="Calibri" w:cstheme="minorHAnsi"/>
          <w:bCs/>
        </w:rPr>
      </w:pPr>
      <w:r>
        <w:rPr>
          <w:rFonts w:cs="Calibri" w:cstheme="minorHAnsi"/>
          <w:bCs/>
        </w:rPr>
        <w:t>Aktywność na zajęciach: 40%</w:t>
      </w:r>
    </w:p>
    <w:p>
      <w:pPr>
        <w:pStyle w:val="Normal"/>
        <w:ind w:left="360" w:hanging="0"/>
        <w:rPr>
          <w:rFonts w:cs="Calibri" w:cstheme="minorHAnsi"/>
          <w:bCs/>
        </w:rPr>
      </w:pPr>
      <w:r>
        <w:rPr>
          <w:rFonts w:cs="Calibri" w:cstheme="minorHAnsi"/>
          <w:bCs/>
        </w:rPr>
        <w:t>Zaliczenie: 60%</w:t>
      </w:r>
    </w:p>
    <w:p>
      <w:pPr>
        <w:pStyle w:val="Normal"/>
        <w:rPr>
          <w:rFonts w:cs="Calibri" w:cstheme="minorHAnsi"/>
          <w:b/>
        </w:rPr>
      </w:pPr>
      <w:r>
        <w:rPr>
          <w:rFonts w:cs="Calibri" w:cstheme="minorHAnsi"/>
          <w:b/>
        </w:rPr>
      </w:r>
      <w:r>
        <w:br w:type="page"/>
      </w:r>
    </w:p>
    <w:p>
      <w:pPr>
        <w:pStyle w:val="ListParagraph"/>
        <w:numPr>
          <w:ilvl w:val="0"/>
          <w:numId w:val="1"/>
        </w:numPr>
        <w:rPr>
          <w:rFonts w:cs="Calibri" w:cstheme="minorHAnsi"/>
          <w:b/>
        </w:rPr>
      </w:pPr>
      <w:r>
        <w:rPr>
          <w:rFonts w:cs="Calibri" w:cstheme="minorHAnsi"/>
          <w:b/>
        </w:rPr>
        <w:t>Obciążenie pracą studenta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38"/>
        <w:gridCol w:w="4523"/>
      </w:tblGrid>
      <w:tr>
        <w:trPr/>
        <w:tc>
          <w:tcPr>
            <w:tcW w:w="4538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Forma aktywności studenta</w:t>
            </w:r>
          </w:p>
        </w:tc>
        <w:tc>
          <w:tcPr>
            <w:tcW w:w="452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Liczba godzin</w:t>
            </w:r>
          </w:p>
        </w:tc>
      </w:tr>
      <w:tr>
        <w:trPr/>
        <w:tc>
          <w:tcPr>
            <w:tcW w:w="4538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Liczba godzin kontaktowych z nauczycielem 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  <w:i/>
                <w:i/>
              </w:rPr>
            </w:pPr>
            <w:r>
              <w:rPr>
                <w:rFonts w:cs="Calibri" w:cstheme="minorHAnsi"/>
                <w:i/>
              </w:rPr>
            </w:r>
          </w:p>
        </w:tc>
        <w:tc>
          <w:tcPr>
            <w:tcW w:w="452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  <w:bCs/>
              </w:rPr>
            </w:pPr>
            <w:r>
              <w:rPr>
                <w:rFonts w:eastAsia="Calibri" w:cs="Calibri" w:cstheme="minorHAnsi"/>
                <w:bCs/>
                <w:kern w:val="0"/>
                <w:sz w:val="22"/>
                <w:szCs w:val="22"/>
                <w:lang w:val="pl-PL" w:eastAsia="en-US" w:bidi="ar-SA"/>
              </w:rPr>
              <w:t>15</w:t>
            </w:r>
          </w:p>
        </w:tc>
      </w:tr>
      <w:tr>
        <w:trPr/>
        <w:tc>
          <w:tcPr>
            <w:tcW w:w="4538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Liczba godzin indywidualnej pracy studenta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  <w:i/>
                <w:i/>
              </w:rPr>
            </w:pPr>
            <w:r>
              <w:rPr>
                <w:rFonts w:cs="Calibri" w:cstheme="minorHAnsi"/>
                <w:i/>
              </w:rPr>
            </w:r>
          </w:p>
        </w:tc>
        <w:tc>
          <w:tcPr>
            <w:tcW w:w="452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  <w:bCs/>
              </w:rPr>
            </w:pPr>
            <w:r>
              <w:rPr>
                <w:rFonts w:eastAsia="Calibri" w:cs="Calibri" w:cstheme="minorHAnsi"/>
                <w:bCs/>
                <w:kern w:val="0"/>
                <w:sz w:val="22"/>
                <w:szCs w:val="22"/>
                <w:lang w:val="pl-PL" w:eastAsia="en-US" w:bidi="ar-SA"/>
              </w:rPr>
              <w:t>30</w:t>
            </w:r>
          </w:p>
        </w:tc>
      </w:tr>
    </w:tbl>
    <w:p>
      <w:pPr>
        <w:pStyle w:val="Normal"/>
        <w:spacing w:before="0" w:after="0"/>
        <w:rPr>
          <w:rFonts w:cs="Calibri" w:cstheme="minorHAnsi"/>
          <w:b/>
        </w:rPr>
      </w:pPr>
      <w:r>
        <w:rPr>
          <w:rFonts w:cs="Calibri" w:cstheme="minorHAnsi"/>
          <w:b/>
        </w:rPr>
      </w:r>
    </w:p>
    <w:p>
      <w:pPr>
        <w:pStyle w:val="ListParagraph"/>
        <w:numPr>
          <w:ilvl w:val="0"/>
          <w:numId w:val="1"/>
        </w:numPr>
        <w:rPr>
          <w:rFonts w:cs="Calibri" w:cstheme="minorHAnsi"/>
          <w:b/>
        </w:rPr>
      </w:pPr>
      <w:r>
        <w:rPr>
          <w:rFonts w:cs="Calibri" w:cstheme="minorHAnsi"/>
          <w:b/>
        </w:rPr>
        <w:t>Literatura</w:t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62"/>
      </w:tblGrid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Literatura podstawowa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numPr>
                <w:ilvl w:val="0"/>
                <w:numId w:val="5"/>
              </w:numPr>
              <w:suppressAutoHyphens w:val="true"/>
              <w:spacing w:lineRule="auto" w:line="240" w:before="0" w:after="0"/>
              <w:jc w:val="both"/>
              <w:rPr>
                <w:rStyle w:val="Wyrnienie"/>
                <w:rFonts w:cs="Calibri" w:cstheme="minorHAnsi"/>
                <w:i w:val="false"/>
                <w:i w:val="false"/>
                <w:iCs w:val="false"/>
              </w:rPr>
            </w:pPr>
            <w:r>
              <w:rPr>
                <w:rStyle w:val="Wyrnienie"/>
                <w:rFonts w:eastAsia="Calibri" w:cs="Calibri" w:cstheme="minorHAnsi"/>
                <w:i w:val="false"/>
                <w:iCs w:val="false"/>
                <w:kern w:val="0"/>
                <w:sz w:val="22"/>
                <w:szCs w:val="22"/>
                <w:lang w:val="pl-PL" w:eastAsia="en-US" w:bidi="ar-SA"/>
              </w:rPr>
              <w:t>A. Bryc, Rosja w XXI wieku. Gracz światowy czy koniec gry?, Wydawnictwa Akademickie i Profesjonalne, Warszawa 2008.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suppressAutoHyphens w:val="true"/>
              <w:spacing w:lineRule="auto" w:line="240" w:before="0" w:after="0"/>
              <w:jc w:val="both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S. Bieleń, Tożsamość międzynarodowa Federacji Rosyjskiej, Oficyna Wydawnicza ASPRA-JR, Warszawa 2006. 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suppressAutoHyphens w:val="true"/>
              <w:spacing w:lineRule="auto" w:line="240" w:before="0" w:after="0"/>
              <w:jc w:val="both"/>
              <w:rPr>
                <w:rFonts w:cs="Calibri" w:cstheme="minorHAnsi"/>
              </w:rPr>
            </w:pPr>
            <w:r>
              <w:rPr>
                <w:rStyle w:val="Wyrnienie"/>
                <w:rFonts w:eastAsia="Calibri" w:cs="Calibri" w:cstheme="minorHAnsi"/>
                <w:i w:val="false"/>
                <w:iCs w:val="false"/>
                <w:kern w:val="0"/>
                <w:sz w:val="22"/>
                <w:szCs w:val="22"/>
                <w:lang w:val="pl-PL" w:eastAsia="en-US" w:bidi="ar-SA"/>
              </w:rPr>
              <w:t xml:space="preserve">Polityka zagraniczna Federacji Rosyjskiej, </w:t>
            </w: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S. Bieleń, M. Raś (red.), Wyd. Difin, Warszawa 2008, rozdział 5. </w:t>
            </w:r>
          </w:p>
          <w:p>
            <w:pPr>
              <w:pStyle w:val="NormalWeb"/>
              <w:widowControl w:val="false"/>
              <w:numPr>
                <w:ilvl w:val="0"/>
                <w:numId w:val="3"/>
              </w:numPr>
              <w:suppressAutoHyphens w:val="true"/>
              <w:spacing w:beforeAutospacing="0" w:before="0" w:afterAutospacing="0" w:after="0"/>
              <w:jc w:val="both"/>
              <w:rPr>
                <w:rStyle w:val="Strong"/>
                <w:rFonts w:ascii="Calibri" w:hAnsi="Calibri" w:cs="Calibri" w:asciiTheme="minorHAnsi" w:cstheme="minorHAnsi" w:hAnsiTheme="minorHAnsi"/>
                <w:sz w:val="22"/>
                <w:szCs w:val="22"/>
                <w:u w:val="single"/>
                <w:lang w:val="pl-PL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>Konrad Świder, Czynnik nomenklaturowy w dezintegracji Związku Radzieckiego, „Wschodni Rocznik Humanistyczny”, TOM XIV (2017), № 3, ss. 7-27.</w:t>
            </w:r>
          </w:p>
          <w:p>
            <w:pPr>
              <w:pStyle w:val="NormalWeb"/>
              <w:widowControl w:val="false"/>
              <w:numPr>
                <w:ilvl w:val="0"/>
                <w:numId w:val="3"/>
              </w:numPr>
              <w:suppressAutoHyphens w:val="true"/>
              <w:spacing w:beforeAutospacing="0" w:before="0" w:afterAutospacing="0" w:after="0"/>
              <w:jc w:val="both"/>
              <w:rPr>
                <w:rFonts w:ascii="Calibri" w:hAnsi="Calibri" w:cs="Calibri" w:asciiTheme="minorHAnsi" w:cstheme="minorHAnsi" w:hAnsiTheme="minorHAnsi"/>
                <w:b/>
                <w:bCs/>
                <w:sz w:val="22"/>
                <w:szCs w:val="22"/>
                <w:u w:val="single"/>
                <w:lang w:val="pl-PL"/>
              </w:rPr>
            </w:pPr>
            <w:r>
              <w:rPr>
                <w:rFonts w:cs="Calibri" w:ascii="Calibri" w:hAnsi="Calibri" w:asciiTheme="minorHAnsi" w:cstheme="minorHAnsi" w:hAnsiTheme="minorHAnsi"/>
                <w:bCs/>
                <w:kern w:val="0"/>
                <w:sz w:val="22"/>
                <w:szCs w:val="22"/>
                <w:lang w:val="pl-PL" w:eastAsia="en-US" w:bidi="ar-SA"/>
              </w:rPr>
              <w:t xml:space="preserve">Polityka zagraniczna i bezpieczeństwa na obszarze Wspólnoty Niepodległych Państw, pod red. Agnieszki Leguckiej i Kazimierza Malaka, Oficyna Wydawnicza Rytm, Warszawa 2008. </w:t>
            </w:r>
          </w:p>
          <w:p>
            <w:pPr>
              <w:pStyle w:val="NormalWeb"/>
              <w:widowControl w:val="false"/>
              <w:numPr>
                <w:ilvl w:val="0"/>
                <w:numId w:val="3"/>
              </w:numPr>
              <w:suppressAutoHyphens w:val="true"/>
              <w:spacing w:beforeAutospacing="0" w:before="0" w:afterAutospacing="0" w:after="0"/>
              <w:jc w:val="both"/>
              <w:rPr>
                <w:rFonts w:ascii="Calibri" w:hAnsi="Calibri" w:cs="Calibri" w:asciiTheme="minorHAnsi" w:cstheme="minorHAnsi" w:hAnsiTheme="minorHAnsi"/>
                <w:b/>
                <w:bCs/>
                <w:sz w:val="22"/>
                <w:szCs w:val="22"/>
                <w:u w:val="single"/>
                <w:lang w:val="pl-PL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 xml:space="preserve">Agata Włodkowska-Bagan, Efektywność integracji na obszarze Wspólnoty Niepodległych Państw, [w:] Wspólnota Niepodległych Państw: fragmegracja – bezpieczeństwo – konflikty etniczne, </w:t>
            </w:r>
            <w:r>
              <w:rPr>
                <w:rStyle w:val="Strong"/>
                <w:rFonts w:cs="Calibri" w:ascii="Calibri" w:hAnsi="Calibri" w:asciiTheme="minorHAnsi" w:cstheme="minorHAnsi" w:hAnsiTheme="minorHAnsi"/>
                <w:b w:val="false"/>
                <w:kern w:val="0"/>
                <w:sz w:val="22"/>
                <w:szCs w:val="22"/>
                <w:lang w:val="pl-PL" w:eastAsia="en-US" w:bidi="ar-SA"/>
              </w:rPr>
              <w:t xml:space="preserve">T. Kapuśniak </w:t>
            </w:r>
            <w:r>
              <w:rPr>
                <w:rStyle w:val="Strong"/>
                <w:rFonts w:eastAsia="Courier New" w:cs="Calibri" w:ascii="Calibri" w:hAnsi="Calibri" w:asciiTheme="minorHAnsi" w:cstheme="minorHAnsi" w:hAnsiTheme="minorHAnsi"/>
                <w:b w:val="false"/>
                <w:kern w:val="0"/>
                <w:sz w:val="22"/>
                <w:szCs w:val="22"/>
                <w:lang w:val="pl-PL" w:eastAsia="en-US" w:bidi="ar-SA"/>
              </w:rPr>
              <w:t>(red.)</w:t>
            </w:r>
            <w:r>
              <w:rPr>
                <w:rStyle w:val="Strong"/>
                <w:rFonts w:cs="Calibri" w:ascii="Calibri" w:hAnsi="Calibri" w:asciiTheme="minorHAnsi" w:cstheme="minorHAnsi" w:hAnsiTheme="minorHAnsi"/>
                <w:b w:val="false"/>
                <w:kern w:val="0"/>
                <w:sz w:val="22"/>
                <w:szCs w:val="22"/>
                <w:lang w:val="pl-PL" w:eastAsia="en-US" w:bidi="ar-SA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>Tom</w:t>
            </w:r>
            <w:r>
              <w:rPr>
                <w:rFonts w:cs="Calibri" w:ascii="Calibri" w:hAnsi="Calibri" w:asciiTheme="minorHAnsi" w:cstheme="minorHAnsi" w:hAnsiTheme="minorHAnsi"/>
                <w:iCs/>
                <w:kern w:val="0"/>
                <w:sz w:val="22"/>
                <w:szCs w:val="22"/>
                <w:lang w:val="pl-PL" w:eastAsia="en-US" w:bidi="ar-SA"/>
              </w:rPr>
              <w:t xml:space="preserve"> 1, Instytut Europy Środkowo-Wschodniej, </w:t>
            </w: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 xml:space="preserve">Wydawnictwo KUL, Lublin-Warszawa 2011, ss. 15-24. 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uppressAutoHyphens w:val="true"/>
              <w:spacing w:lineRule="auto" w:line="240" w:before="0" w:after="0"/>
              <w:jc w:val="both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Maciej Falkowski, Problemy bezpieczeństwa na Kaukazie Południowym, [w:] </w:t>
            </w:r>
            <w:r>
              <w:rPr>
                <w:rFonts w:eastAsia="Calibri" w:cs="Calibri" w:cstheme="minorHAnsi"/>
                <w:bCs/>
                <w:kern w:val="0"/>
                <w:sz w:val="22"/>
                <w:szCs w:val="22"/>
                <w:lang w:val="pl-PL" w:eastAsia="en-US" w:bidi="ar-SA"/>
              </w:rPr>
              <w:t xml:space="preserve">Polityka zagraniczna i bezpieczeństwa na obszarze Wspólnoty Niepodległych Państw, pod red. Agnieszki Leguckiej i Kazimierza Malaka, Oficyna Wydawnicza Rytm, Warszawa 2008, s. 186-210. 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uppressAutoHyphens w:val="true"/>
              <w:spacing w:lineRule="auto" w:line="240" w:before="0" w:after="0"/>
              <w:jc w:val="both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Tomasz Stępniewski, Geopolityka regionu Morza Czarnego w pozimnowojennym świecie, Lublin–Warszawa 2011, ss. 195-219.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uppressAutoHyphens w:val="true"/>
              <w:spacing w:lineRule="auto" w:line="240" w:before="0" w:after="0"/>
              <w:jc w:val="both"/>
              <w:rPr>
                <w:rFonts w:cs="Calibri" w:cstheme="minorHAnsi"/>
                <w:bCs/>
              </w:rPr>
            </w:pPr>
            <w:r>
              <w:rPr>
                <w:rFonts w:eastAsia="Calibri" w:cs="Calibri" w:cstheme="minorHAnsi"/>
                <w:bCs/>
                <w:kern w:val="0"/>
                <w:sz w:val="22"/>
                <w:szCs w:val="22"/>
                <w:lang w:val="pl-PL" w:eastAsia="en-US" w:bidi="ar-SA"/>
              </w:rPr>
              <w:t xml:space="preserve">Andrzej Gil, Uwarunkowania historyczne sytuacji w regionie Azji centralnej, [w:] </w:t>
            </w: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T. Stępniewski (red.), Nowa Wielka Gra w regionie Azji Centralnej,</w:t>
            </w:r>
            <w:r>
              <w:rPr>
                <w:rFonts w:eastAsia="Calibri" w:cs="Calibri" w:cstheme="minorHAnsi"/>
                <w:b/>
                <w:bCs/>
                <w:kern w:val="0"/>
                <w:sz w:val="22"/>
                <w:szCs w:val="22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iCs/>
                <w:kern w:val="0"/>
                <w:sz w:val="22"/>
                <w:szCs w:val="22"/>
                <w:lang w:val="pl-PL" w:eastAsia="en-US" w:bidi="ar-SA"/>
              </w:rPr>
              <w:t xml:space="preserve">Instytut Europy Środkowo-Wschodniej, </w:t>
            </w: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Lublin-Warszawa 2012, ss. 13-36.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uppressAutoHyphens w:val="true"/>
              <w:spacing w:lineRule="auto" w:line="240" w:before="0" w:after="0"/>
              <w:jc w:val="both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Krzysztof Fedorowicz, Uwarunkowania wewnętrzne państw Azji Centralnej, [w:] T. Stępniewski (red.), Nowa Wielka Gra w regionie Azji Centralnej,</w:t>
            </w:r>
            <w:r>
              <w:rPr>
                <w:rFonts w:eastAsia="Calibri" w:cs="Calibri" w:cstheme="minorHAnsi"/>
                <w:b/>
                <w:bCs/>
                <w:kern w:val="0"/>
                <w:sz w:val="22"/>
                <w:szCs w:val="22"/>
                <w:lang w:val="pl-PL" w:eastAsia="en-US" w:bidi="ar-SA"/>
              </w:rPr>
              <w:t xml:space="preserve"> </w:t>
            </w:r>
            <w:r>
              <w:rPr>
                <w:rFonts w:eastAsia="Calibri" w:cs="Calibri" w:cstheme="minorHAnsi"/>
                <w:iCs/>
                <w:kern w:val="0"/>
                <w:sz w:val="22"/>
                <w:szCs w:val="22"/>
                <w:lang w:val="pl-PL" w:eastAsia="en-US" w:bidi="ar-SA"/>
              </w:rPr>
              <w:t xml:space="preserve">Instytut Europy Środkowo-Wschodniej, </w:t>
            </w: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Lublin-Warszawa 2012, ss. 37-48. 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Literatura uzupełniająca</w:t>
            </w:r>
          </w:p>
        </w:tc>
      </w:tr>
      <w:tr>
        <w:trPr/>
        <w:tc>
          <w:tcPr>
            <w:tcW w:w="9062" w:type="dxa"/>
            <w:tcBorders/>
          </w:tcPr>
          <w:p>
            <w:pPr>
              <w:pStyle w:val="NormalWeb"/>
              <w:widowControl w:val="false"/>
              <w:numPr>
                <w:ilvl w:val="0"/>
                <w:numId w:val="3"/>
              </w:numPr>
              <w:suppressAutoHyphens w:val="true"/>
              <w:spacing w:beforeAutospacing="0" w:before="0" w:afterAutospacing="0" w:after="0"/>
              <w:jc w:val="both"/>
              <w:rPr>
                <w:rFonts w:ascii="Calibri" w:hAnsi="Calibri" w:cs="Calibri" w:asciiTheme="minorHAnsi" w:cstheme="minorHAnsi" w:hAnsiTheme="minorHAnsi"/>
                <w:sz w:val="22"/>
                <w:szCs w:val="22"/>
                <w:lang w:val="pl-PL" w:eastAsia="pl-PL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 xml:space="preserve">Wspólnota Niepodległych Państw: fragmegracja – bezpieczeństwo – konflikty etniczne, </w:t>
            </w:r>
            <w:r>
              <w:rPr>
                <w:rStyle w:val="Strong"/>
                <w:rFonts w:cs="Calibri" w:ascii="Calibri" w:hAnsi="Calibri" w:asciiTheme="minorHAnsi" w:cstheme="minorHAnsi" w:hAnsiTheme="minorHAnsi"/>
                <w:b w:val="false"/>
                <w:kern w:val="0"/>
                <w:sz w:val="22"/>
                <w:szCs w:val="22"/>
                <w:lang w:val="pl-PL" w:eastAsia="en-US" w:bidi="ar-SA"/>
              </w:rPr>
              <w:t xml:space="preserve">T. Kapuśniak </w:t>
            </w:r>
            <w:r>
              <w:rPr>
                <w:rStyle w:val="Strong"/>
                <w:rFonts w:eastAsia="Courier New" w:cs="Calibri" w:ascii="Calibri" w:hAnsi="Calibri" w:asciiTheme="minorHAnsi" w:cstheme="minorHAnsi" w:hAnsiTheme="minorHAnsi"/>
                <w:b w:val="false"/>
                <w:kern w:val="0"/>
                <w:sz w:val="22"/>
                <w:szCs w:val="22"/>
                <w:lang w:val="pl-PL" w:eastAsia="en-US" w:bidi="ar-SA"/>
              </w:rPr>
              <w:t>(red.)</w:t>
            </w:r>
            <w:r>
              <w:rPr>
                <w:rStyle w:val="Strong"/>
                <w:rFonts w:cs="Calibri" w:ascii="Calibri" w:hAnsi="Calibri" w:asciiTheme="minorHAnsi" w:cstheme="minorHAnsi" w:hAnsiTheme="minorHAnsi"/>
                <w:b w:val="false"/>
                <w:kern w:val="0"/>
                <w:sz w:val="22"/>
                <w:szCs w:val="22"/>
                <w:lang w:val="pl-PL" w:eastAsia="en-US" w:bidi="ar-SA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>Tom</w:t>
            </w:r>
            <w:r>
              <w:rPr>
                <w:rFonts w:cs="Calibri" w:ascii="Calibri" w:hAnsi="Calibri" w:asciiTheme="minorHAnsi" w:cstheme="minorHAnsi" w:hAnsiTheme="minorHAnsi"/>
                <w:iCs/>
                <w:kern w:val="0"/>
                <w:sz w:val="22"/>
                <w:szCs w:val="22"/>
                <w:lang w:val="pl-PL" w:eastAsia="en-US" w:bidi="ar-SA"/>
              </w:rPr>
              <w:t xml:space="preserve"> 1, Instytut Europy Środkowo-Wschodniej, </w:t>
            </w: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 xml:space="preserve">Wydawnictwo KUL, Lublin-Warszawa 2011, ss. 25-40. </w:t>
            </w:r>
          </w:p>
          <w:p>
            <w:pPr>
              <w:pStyle w:val="NormalWeb"/>
              <w:widowControl w:val="false"/>
              <w:numPr>
                <w:ilvl w:val="0"/>
                <w:numId w:val="3"/>
              </w:numPr>
              <w:suppressAutoHyphens w:val="true"/>
              <w:spacing w:beforeAutospacing="0" w:before="0" w:afterAutospacing="0" w:after="0"/>
              <w:jc w:val="both"/>
              <w:rPr>
                <w:rFonts w:ascii="Calibri" w:hAnsi="Calibri" w:cs="Calibri" w:asciiTheme="minorHAnsi" w:cstheme="minorHAnsi" w:hAnsiTheme="minorHAnsi"/>
                <w:sz w:val="22"/>
                <w:szCs w:val="22"/>
                <w:lang w:val="pl-PL" w:eastAsia="pl-PL"/>
              </w:rPr>
            </w:pPr>
            <w:r>
              <w:rPr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 xml:space="preserve">Marek Menkiszak, Doktryna Putina: Tworzenie koncepcyjnych podstaw rosyjskiej dominacji na obszarze postradzieckim, „Komentarze OSW”, </w:t>
            </w:r>
            <w:r>
              <w:rPr>
                <w:rStyle w:val="Date-display-single"/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 xml:space="preserve">2014-03-27, </w:t>
            </w:r>
            <w:hyperlink r:id="rId2">
              <w:r>
                <w:rPr>
                  <w:rStyle w:val="Czeinternetowe"/>
                  <w:rFonts w:cs="Calibri" w:ascii="Calibri" w:hAnsi="Calibri" w:asciiTheme="minorHAnsi" w:cstheme="minorHAnsi" w:hAnsiTheme="minorHAnsi"/>
                  <w:color w:val="auto"/>
                  <w:kern w:val="0"/>
                  <w:sz w:val="22"/>
                  <w:szCs w:val="22"/>
                  <w:u w:val="none"/>
                  <w:lang w:val="pl-PL" w:eastAsia="en-US" w:bidi="ar-SA"/>
                </w:rPr>
                <w:t>www.osw.waw.pl</w:t>
              </w:r>
            </w:hyperlink>
            <w:r>
              <w:rPr>
                <w:rStyle w:val="Date-display-single"/>
                <w:rFonts w:cs="Calibri" w:ascii="Calibri" w:hAnsi="Calibri" w:asciiTheme="minorHAnsi" w:cstheme="minorHAnsi" w:hAnsiTheme="minorHAnsi"/>
                <w:kern w:val="0"/>
                <w:sz w:val="22"/>
                <w:szCs w:val="22"/>
                <w:lang w:val="pl-PL" w:eastAsia="en-US" w:bidi="ar-SA"/>
              </w:rPr>
              <w:t xml:space="preserve"> (http://www.osw.waw.pl/pl/publikacje/komentarze-osw/2014-03-27/doktryna-putina-tworzenie-koncepcyjnych-podstaw-rosyjskiej).</w:t>
            </w:r>
          </w:p>
          <w:p>
            <w:pPr>
              <w:pStyle w:val="Normal"/>
              <w:widowControl w:val="false"/>
              <w:suppressAutoHyphens w:val="true"/>
              <w:spacing w:before="0" w:after="200"/>
              <w:jc w:val="left"/>
              <w:rPr>
                <w:rFonts w:cs="Calibri" w:cstheme="minorHAnsi"/>
                <w:b/>
              </w:rPr>
            </w:pPr>
            <w:r>
              <w:rPr>
                <w:rFonts w:cs="Calibri" w:cstheme="minorHAnsi"/>
                <w:b/>
              </w:rPr>
            </w:r>
          </w:p>
        </w:tc>
      </w:tr>
    </w:tbl>
    <w:p>
      <w:pPr>
        <w:pStyle w:val="Normal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1417" w:right="1417" w:gutter="0" w:header="708" w:top="1417" w:footer="708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Garamond">
    <w:charset w:val="ee"/>
    <w:family w:val="roman"/>
    <w:pitch w:val="variable"/>
  </w:font>
  <w:font w:name="Times New Roman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right"/>
      <w:rPr>
        <w:i/>
        <w:i/>
      </w:rPr>
    </w:pPr>
    <w:r>
      <w:rPr>
        <w:i/>
      </w:rPr>
      <w:t>Załącznik nr 5</w:t>
    </w:r>
  </w:p>
  <w:p>
    <w:pPr>
      <w:pStyle w:val="Gwka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right"/>
      <w:rPr>
        <w:i/>
        <w:i/>
      </w:rPr>
    </w:pPr>
    <w:r>
      <w:rPr>
        <w:i/>
      </w:rPr>
      <w:t>Załącznik nr 5</w:t>
    </w:r>
  </w:p>
  <w:p>
    <w:pPr>
      <w:pStyle w:val="Gwk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73704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uiPriority w:val="99"/>
    <w:qFormat/>
    <w:rsid w:val="00e73704"/>
    <w:rPr/>
  </w:style>
  <w:style w:type="character" w:styleId="StopkaZnak" w:customStyle="1">
    <w:name w:val="Stopka Znak"/>
    <w:basedOn w:val="DefaultParagraphFont"/>
    <w:uiPriority w:val="99"/>
    <w:qFormat/>
    <w:rsid w:val="00e73704"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2873f7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Annotationtext"/>
    <w:uiPriority w:val="99"/>
    <w:semiHidden/>
    <w:qFormat/>
    <w:rsid w:val="002873f7"/>
    <w:rPr>
      <w:sz w:val="20"/>
      <w:szCs w:val="20"/>
    </w:rPr>
  </w:style>
  <w:style w:type="character" w:styleId="TematkomentarzaZnak" w:customStyle="1">
    <w:name w:val="Temat komentarza Znak"/>
    <w:basedOn w:val="TekstkomentarzaZnak"/>
    <w:link w:val="Annotationsubject"/>
    <w:uiPriority w:val="99"/>
    <w:semiHidden/>
    <w:qFormat/>
    <w:rsid w:val="002873f7"/>
    <w:rPr>
      <w:b/>
      <w:bCs/>
      <w:sz w:val="20"/>
      <w:szCs w:val="20"/>
    </w:rPr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2873f7"/>
    <w:rPr>
      <w:rFonts w:ascii="Segoe UI" w:hAnsi="Segoe UI" w:cs="Segoe UI"/>
      <w:sz w:val="18"/>
      <w:szCs w:val="18"/>
    </w:rPr>
  </w:style>
  <w:style w:type="character" w:styleId="Strong">
    <w:name w:val="Strong"/>
    <w:uiPriority w:val="22"/>
    <w:qFormat/>
    <w:rsid w:val="0048602b"/>
    <w:rPr>
      <w:b/>
      <w:bCs/>
    </w:rPr>
  </w:style>
  <w:style w:type="character" w:styleId="Wyrnienie">
    <w:name w:val="Emphasis"/>
    <w:qFormat/>
    <w:rsid w:val="0048602b"/>
    <w:rPr>
      <w:i/>
      <w:iCs/>
    </w:rPr>
  </w:style>
  <w:style w:type="character" w:styleId="Czeinternetowe">
    <w:name w:val="Hyperlink"/>
    <w:rsid w:val="0048602b"/>
    <w:rPr>
      <w:color w:val="0000FF"/>
      <w:u w:val="single"/>
    </w:rPr>
  </w:style>
  <w:style w:type="character" w:styleId="Date-display-single" w:customStyle="1">
    <w:name w:val="date-display-single"/>
    <w:qFormat/>
    <w:rsid w:val="0048602b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e73704"/>
    <w:pPr>
      <w:spacing w:before="0" w:after="200"/>
      <w:ind w:left="720" w:hanging="0"/>
      <w:contextualSpacing/>
    </w:pPr>
    <w:rPr/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unhideWhenUsed/>
    <w:rsid w:val="00e73704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e73704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2873f7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2873f7"/>
    <w:pPr/>
    <w:rPr>
      <w:b/>
      <w:bCs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2873f7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Znak" w:customStyle="1">
    <w:name w:val="Znak"/>
    <w:basedOn w:val="Normal"/>
    <w:next w:val="Normal"/>
    <w:qFormat/>
    <w:rsid w:val="0048602b"/>
    <w:pPr>
      <w:spacing w:lineRule="exact" w:line="240" w:before="120" w:after="160"/>
      <w:jc w:val="both"/>
    </w:pPr>
    <w:rPr>
      <w:rFonts w:ascii="Garamond" w:hAnsi="Garamond" w:eastAsia="Times New Roman" w:cs="Times New Roman"/>
      <w:bCs/>
      <w:sz w:val="24"/>
      <w:szCs w:val="24"/>
      <w:lang w:val="en-US" w:eastAsia="de-DE"/>
    </w:rPr>
  </w:style>
  <w:style w:type="paragraph" w:styleId="NormalWeb">
    <w:name w:val="Normal (Web)"/>
    <w:basedOn w:val="Normal"/>
    <w:uiPriority w:val="99"/>
    <w:qFormat/>
    <w:rsid w:val="0048602b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val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e7370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osw.waw.pl/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Application>LibreOffice/7.5.6.2$Windows_X86_64 LibreOffice_project/f654817fb68d6d4600d7d2f6b647e47729f55f15</Application>
  <AppVersion>15.0000</AppVersion>
  <Pages>5</Pages>
  <Words>732</Words>
  <Characters>5305</Characters>
  <CharactersWithSpaces>5896</CharactersWithSpaces>
  <Paragraphs>134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2024-12-12T13:14:00Z</dcterms:created>
  <dc:creator>Aleksandra Kuczyńska-Zonik</dc:creator>
  <dc:description/>
  <dc:language>pl-PL</dc:language>
  <cp:lastModifiedBy/>
  <dcterms:modified xsi:type="dcterms:W3CDTF">2024-12-13T08:23:46Z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