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0" w:after="120"/>
        <w:rPr>
          <w:b/>
        </w:rPr>
      </w:pPr>
      <w:r>
        <w:rPr>
          <w:b/>
        </w:rPr>
        <w:t xml:space="preserve">KARTA PRZEDMIOTU </w:t>
      </w:r>
    </w:p>
    <w:p>
      <w:pPr>
        <w:pStyle w:val="Normal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Dane podstawowe</w:t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544"/>
        <w:gridCol w:w="4517"/>
      </w:tblGrid>
      <w:tr>
        <w:trPr/>
        <w:tc>
          <w:tcPr>
            <w:tcW w:w="45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Nazwa przedmiotu</w:t>
            </w:r>
          </w:p>
        </w:tc>
        <w:tc>
          <w:tcPr>
            <w:tcW w:w="4517" w:type="dxa"/>
            <w:tcBorders/>
          </w:tcPr>
          <w:p>
            <w:pPr>
              <w:pStyle w:val="Nagwek2"/>
              <w:widowControl w:val="false"/>
              <w:suppressAutoHyphens w:val="true"/>
              <w:spacing w:before="0" w:after="0"/>
              <w:jc w:val="left"/>
              <w:rPr>
                <w:rFonts w:ascii="Calibri" w:hAnsi="Calibri" w:eastAsia="Calibri"/>
                <w:sz w:val="22"/>
                <w:szCs w:val="22"/>
              </w:rPr>
            </w:pPr>
            <w:r>
              <w:rPr>
                <w:rFonts w:eastAsia="Calibri" w:ascii="Calibri" w:hAnsi="Calibri"/>
                <w:kern w:val="0"/>
                <w:sz w:val="22"/>
                <w:szCs w:val="22"/>
                <w:lang w:val="pl-PL" w:eastAsia="en-US" w:bidi="ar-SA"/>
              </w:rPr>
              <w:t>Kryminologia</w:t>
            </w:r>
          </w:p>
        </w:tc>
      </w:tr>
      <w:tr>
        <w:trPr/>
        <w:tc>
          <w:tcPr>
            <w:tcW w:w="45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Nazwa przedmiotu w języku angielskim</w:t>
            </w:r>
          </w:p>
        </w:tc>
        <w:tc>
          <w:tcPr>
            <w:tcW w:w="451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Criminology</w:t>
            </w:r>
          </w:p>
        </w:tc>
      </w:tr>
      <w:tr>
        <w:trPr/>
        <w:tc>
          <w:tcPr>
            <w:tcW w:w="45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Kierunek studiów</w:t>
            </w:r>
          </w:p>
        </w:tc>
        <w:tc>
          <w:tcPr>
            <w:tcW w:w="451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Bezpieczeństwo narodowe</w:t>
            </w:r>
          </w:p>
        </w:tc>
      </w:tr>
      <w:tr>
        <w:trPr/>
        <w:tc>
          <w:tcPr>
            <w:tcW w:w="45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Poziom studiów (I, II, jednolite magisterskie)</w:t>
            </w:r>
          </w:p>
        </w:tc>
        <w:tc>
          <w:tcPr>
            <w:tcW w:w="451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I stopnia</w:t>
            </w:r>
          </w:p>
        </w:tc>
      </w:tr>
      <w:tr>
        <w:trPr/>
        <w:tc>
          <w:tcPr>
            <w:tcW w:w="45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Forma studiów (stacjonarne, niestacjonarne)</w:t>
            </w:r>
          </w:p>
        </w:tc>
        <w:tc>
          <w:tcPr>
            <w:tcW w:w="451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stacjonarne</w:t>
            </w:r>
          </w:p>
        </w:tc>
      </w:tr>
      <w:tr>
        <w:trPr/>
        <w:tc>
          <w:tcPr>
            <w:tcW w:w="45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Dyscyplina</w:t>
            </w:r>
          </w:p>
        </w:tc>
        <w:tc>
          <w:tcPr>
            <w:tcW w:w="451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Nauki o polityce i administracji</w:t>
            </w:r>
          </w:p>
        </w:tc>
      </w:tr>
      <w:tr>
        <w:trPr/>
        <w:tc>
          <w:tcPr>
            <w:tcW w:w="45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Język wykładowy</w:t>
            </w:r>
          </w:p>
        </w:tc>
        <w:tc>
          <w:tcPr>
            <w:tcW w:w="451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Polski</w:t>
            </w:r>
          </w:p>
        </w:tc>
      </w:tr>
    </w:tbl>
    <w:p>
      <w:pPr>
        <w:pStyle w:val="Normal"/>
        <w:spacing w:before="0" w:after="0"/>
        <w:rPr/>
      </w:pPr>
      <w:r>
        <w:rPr/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541"/>
        <w:gridCol w:w="4520"/>
      </w:tblGrid>
      <w:tr>
        <w:trPr/>
        <w:tc>
          <w:tcPr>
            <w:tcW w:w="454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Koordynator przedmiotu</w:t>
            </w:r>
          </w:p>
        </w:tc>
        <w:tc>
          <w:tcPr>
            <w:tcW w:w="45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Mgr Andrzej Sikora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</w:tr>
    </w:tbl>
    <w:p>
      <w:pPr>
        <w:pStyle w:val="Normal"/>
        <w:spacing w:before="0" w:after="0"/>
        <w:rPr/>
      </w:pPr>
      <w:r>
        <w:rPr/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286"/>
        <w:gridCol w:w="2256"/>
        <w:gridCol w:w="2261"/>
        <w:gridCol w:w="2258"/>
      </w:tblGrid>
      <w:tr>
        <w:trPr/>
        <w:tc>
          <w:tcPr>
            <w:tcW w:w="22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 xml:space="preserve">Forma zajęć </w:t>
            </w:r>
            <w:r>
              <w:rPr>
                <w:rFonts w:eastAsia="Calibri" w:cs=""/>
                <w:i/>
                <w:kern w:val="0"/>
                <w:sz w:val="22"/>
                <w:szCs w:val="22"/>
                <w:lang w:val="pl-PL" w:eastAsia="en-US" w:bidi="ar-SA"/>
              </w:rPr>
              <w:t>(katalog zamknięty ze słownika)</w:t>
            </w:r>
          </w:p>
        </w:tc>
        <w:tc>
          <w:tcPr>
            <w:tcW w:w="22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Liczba godzin</w:t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semestr</w:t>
            </w:r>
          </w:p>
        </w:tc>
        <w:tc>
          <w:tcPr>
            <w:tcW w:w="225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Punkty ECTS</w:t>
            </w:r>
          </w:p>
        </w:tc>
      </w:tr>
      <w:tr>
        <w:trPr/>
        <w:tc>
          <w:tcPr>
            <w:tcW w:w="22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wykład</w:t>
            </w:r>
          </w:p>
        </w:tc>
        <w:tc>
          <w:tcPr>
            <w:tcW w:w="22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58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3</w:t>
            </w:r>
          </w:p>
        </w:tc>
      </w:tr>
      <w:tr>
        <w:trPr/>
        <w:tc>
          <w:tcPr>
            <w:tcW w:w="22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konwersatorium</w:t>
            </w:r>
          </w:p>
        </w:tc>
        <w:tc>
          <w:tcPr>
            <w:tcW w:w="22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30</w:t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V</w:t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</w:tr>
      <w:tr>
        <w:trPr/>
        <w:tc>
          <w:tcPr>
            <w:tcW w:w="22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ćwiczenia</w:t>
            </w:r>
          </w:p>
        </w:tc>
        <w:tc>
          <w:tcPr>
            <w:tcW w:w="22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</w:tr>
      <w:tr>
        <w:trPr/>
        <w:tc>
          <w:tcPr>
            <w:tcW w:w="22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laboratorium</w:t>
            </w:r>
          </w:p>
        </w:tc>
        <w:tc>
          <w:tcPr>
            <w:tcW w:w="22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</w:tr>
      <w:tr>
        <w:trPr/>
        <w:tc>
          <w:tcPr>
            <w:tcW w:w="22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warsztaty</w:t>
            </w:r>
          </w:p>
        </w:tc>
        <w:tc>
          <w:tcPr>
            <w:tcW w:w="22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</w:tr>
      <w:tr>
        <w:trPr/>
        <w:tc>
          <w:tcPr>
            <w:tcW w:w="22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seminarium</w:t>
            </w:r>
          </w:p>
        </w:tc>
        <w:tc>
          <w:tcPr>
            <w:tcW w:w="22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</w:tr>
      <w:tr>
        <w:trPr/>
        <w:tc>
          <w:tcPr>
            <w:tcW w:w="22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proseminarium</w:t>
            </w:r>
          </w:p>
        </w:tc>
        <w:tc>
          <w:tcPr>
            <w:tcW w:w="22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</w:tr>
      <w:tr>
        <w:trPr/>
        <w:tc>
          <w:tcPr>
            <w:tcW w:w="22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lektorat</w:t>
            </w:r>
          </w:p>
        </w:tc>
        <w:tc>
          <w:tcPr>
            <w:tcW w:w="22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</w:tr>
      <w:tr>
        <w:trPr/>
        <w:tc>
          <w:tcPr>
            <w:tcW w:w="22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praktyki</w:t>
            </w:r>
          </w:p>
        </w:tc>
        <w:tc>
          <w:tcPr>
            <w:tcW w:w="22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</w:tr>
      <w:tr>
        <w:trPr/>
        <w:tc>
          <w:tcPr>
            <w:tcW w:w="22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zajęcia terenowe</w:t>
            </w:r>
          </w:p>
        </w:tc>
        <w:tc>
          <w:tcPr>
            <w:tcW w:w="22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</w:tr>
      <w:tr>
        <w:trPr/>
        <w:tc>
          <w:tcPr>
            <w:tcW w:w="22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pracownia dyplomowa</w:t>
            </w:r>
          </w:p>
        </w:tc>
        <w:tc>
          <w:tcPr>
            <w:tcW w:w="22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</w:tr>
      <w:tr>
        <w:trPr/>
        <w:tc>
          <w:tcPr>
            <w:tcW w:w="22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translatorium</w:t>
            </w:r>
          </w:p>
        </w:tc>
        <w:tc>
          <w:tcPr>
            <w:tcW w:w="22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</w:tr>
      <w:tr>
        <w:trPr/>
        <w:tc>
          <w:tcPr>
            <w:tcW w:w="22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wizyta studyjna</w:t>
            </w:r>
          </w:p>
        </w:tc>
        <w:tc>
          <w:tcPr>
            <w:tcW w:w="22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</w:tr>
    </w:tbl>
    <w:p>
      <w:pPr>
        <w:pStyle w:val="Normal"/>
        <w:spacing w:before="0" w:after="0"/>
        <w:rPr/>
      </w:pPr>
      <w:r>
        <w:rPr/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213"/>
        <w:gridCol w:w="6848"/>
      </w:tblGrid>
      <w:tr>
        <w:trPr/>
        <w:tc>
          <w:tcPr>
            <w:tcW w:w="221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Wymagania wstępne</w:t>
            </w:r>
          </w:p>
        </w:tc>
        <w:tc>
          <w:tcPr>
            <w:tcW w:w="684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ogólna wiedza z zakresu prawa karnego, bezpieczeństwa państwa, prawa policyjnego.</w:t>
            </w:r>
          </w:p>
        </w:tc>
      </w:tr>
    </w:tbl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 xml:space="preserve">Cele kształcenia dla przedmiotu </w:t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062"/>
      </w:tblGrid>
      <w:tr>
        <w:trPr/>
        <w:tc>
          <w:tcPr>
            <w:tcW w:w="906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1. student zna podstawowe pojęcia kryminologiczne,</w:t>
            </w:r>
          </w:p>
        </w:tc>
      </w:tr>
      <w:tr>
        <w:trPr/>
        <w:tc>
          <w:tcPr>
            <w:tcW w:w="906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2. student potrafi nakreślić związki z innymi naukami, ścisłymi i społecznymi,</w:t>
            </w:r>
          </w:p>
        </w:tc>
      </w:tr>
      <w:tr>
        <w:trPr/>
        <w:tc>
          <w:tcPr>
            <w:tcW w:w="9062" w:type="dxa"/>
            <w:tcBorders/>
          </w:tcPr>
          <w:p>
            <w:pPr>
              <w:pStyle w:val="Normal"/>
              <w:widowControl w:val="false"/>
              <w:suppressAutoHyphens w:val="true"/>
              <w:snapToGrid w:val="fals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3. student potrafi scharakteryzować wybrane kategorie przestępczości.</w:t>
            </w:r>
          </w:p>
        </w:tc>
      </w:tr>
      <w:tr>
        <w:trPr/>
        <w:tc>
          <w:tcPr>
            <w:tcW w:w="9062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4. Student zna teorie kryminologiczne.</w:t>
            </w:r>
          </w:p>
        </w:tc>
      </w:tr>
      <w:tr>
        <w:trPr/>
        <w:tc>
          <w:tcPr>
            <w:tcW w:w="9062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5. Student posiada umiejętność analizy mechanizmów zapobiegania przestępczości</w:t>
            </w:r>
          </w:p>
        </w:tc>
      </w:tr>
      <w:tr>
        <w:trPr>
          <w:trHeight w:val="120" w:hRule="atLeast"/>
        </w:trPr>
        <w:tc>
          <w:tcPr>
            <w:tcW w:w="9062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</w:tbl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Efekty uczenia się dla przedmiotu wraz z odniesieniem do efektów kierunkowych</w:t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091"/>
        <w:gridCol w:w="5833"/>
        <w:gridCol w:w="2138"/>
      </w:tblGrid>
      <w:tr>
        <w:trPr/>
        <w:tc>
          <w:tcPr>
            <w:tcW w:w="109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Symbol</w:t>
            </w:r>
          </w:p>
        </w:tc>
        <w:tc>
          <w:tcPr>
            <w:tcW w:w="583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Opis efektu przedmiotowego</w:t>
            </w:r>
          </w:p>
        </w:tc>
        <w:tc>
          <w:tcPr>
            <w:tcW w:w="2138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Odniesienie do efektu kierunkowego</w:t>
            </w:r>
          </w:p>
        </w:tc>
      </w:tr>
      <w:tr>
        <w:trPr/>
        <w:tc>
          <w:tcPr>
            <w:tcW w:w="9062" w:type="dxa"/>
            <w:gridSpan w:val="3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WIEDZA</w:t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W_01</w:t>
            </w:r>
          </w:p>
        </w:tc>
        <w:tc>
          <w:tcPr>
            <w:tcW w:w="583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Absolwent zna i rozumie  istotę uwarunkowań bezpieczeństwa w skali społecznej, ogólnopaństwowej, jak i międzynarodowej w kontekście współczesnych zjawisk kryminologicznych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/>
              </w:rPr>
            </w:pPr>
            <w:r>
              <w:rPr>
                <w:rFonts w:eastAsia="Calibri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13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K_W02</w:t>
            </w:r>
          </w:p>
        </w:tc>
      </w:tr>
      <w:tr>
        <w:trPr/>
        <w:tc>
          <w:tcPr>
            <w:tcW w:w="9062" w:type="dxa"/>
            <w:gridSpan w:val="3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UMIEJĘTNOŚCI</w:t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U_01</w:t>
            </w:r>
          </w:p>
        </w:tc>
        <w:tc>
          <w:tcPr>
            <w:tcW w:w="583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/>
              </w:rPr>
            </w:pPr>
            <w:r>
              <w:rPr>
                <w:rFonts w:eastAsia="Calibri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Absolwent potrafi wykorzystywać zdobytą wiedzę teoretyczną do analizowania, diagnozowania, wyjaśniania oraz prognozowania kwestii szczegółowych odnoszących się do bezpieczeństwa społecznego, państwowego i międzynarodowego w kontekście zjawisk kryminogennych przy wykorzystaniu należytych informacji  i danych statystycznych,</w:t>
            </w:r>
          </w:p>
        </w:tc>
        <w:tc>
          <w:tcPr>
            <w:tcW w:w="213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K_U01</w:t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U_03</w:t>
            </w:r>
          </w:p>
        </w:tc>
        <w:tc>
          <w:tcPr>
            <w:tcW w:w="583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Absolwent  zna strategię minimalizacji przestępczości</w:t>
            </w:r>
          </w:p>
        </w:tc>
        <w:tc>
          <w:tcPr>
            <w:tcW w:w="213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K_U01</w:t>
            </w:r>
          </w:p>
        </w:tc>
      </w:tr>
      <w:tr>
        <w:trPr/>
        <w:tc>
          <w:tcPr>
            <w:tcW w:w="9062" w:type="dxa"/>
            <w:gridSpan w:val="3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KOMPETENCJE SPOŁECZNE</w:t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K_01</w:t>
            </w:r>
          </w:p>
        </w:tc>
        <w:tc>
          <w:tcPr>
            <w:tcW w:w="583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 xml:space="preserve"> </w:t>
            </w: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Absolwent jest gotów do działania i myślenia w sposób   przedsiębiorczy i prospołeczny uwzględniając procesy i zjawiska dotyczące obszaru kryminologii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13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K_K02</w:t>
            </w:r>
          </w:p>
        </w:tc>
      </w:tr>
    </w:tbl>
    <w:p>
      <w:pPr>
        <w:pStyle w:val="ListParagraph"/>
        <w:ind w:left="1080" w:hanging="0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Opis przedmiotu/ treści programowe</w:t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062"/>
      </w:tblGrid>
      <w:tr>
        <w:trPr/>
        <w:tc>
          <w:tcPr>
            <w:tcW w:w="9062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Pojęcie i przedmiot kryminologii;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zagadnienie ustalania rozmiarów przestępczości rzeczywistej - przestępczość ujawniona (dane urzędowe) a metody badania przestępczości nieujawnionej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charakterystyka współczesnej przestępczości w Polsce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wybrane teorie kryminologiczne;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związek kryminologii z prawem karnym;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nauki pomocnicze kryminologii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Zapobieganie przestępczości – profilaktyka kryminologiczna, kryminalistyczna i penitencjarna</w:t>
            </w:r>
          </w:p>
        </w:tc>
      </w:tr>
    </w:tbl>
    <w:p>
      <w:pPr>
        <w:pStyle w:val="Normal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Metody realizacji i weryfikacji efektów uczenia się</w:t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091"/>
        <w:gridCol w:w="2647"/>
        <w:gridCol w:w="2782"/>
        <w:gridCol w:w="2541"/>
      </w:tblGrid>
      <w:tr>
        <w:trPr/>
        <w:tc>
          <w:tcPr>
            <w:tcW w:w="109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Symbol efektu</w:t>
            </w:r>
          </w:p>
        </w:tc>
        <w:tc>
          <w:tcPr>
            <w:tcW w:w="2647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Metody dydaktyczne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i/>
                <w:kern w:val="0"/>
                <w:sz w:val="18"/>
                <w:szCs w:val="18"/>
                <w:lang w:val="pl-PL" w:eastAsia="en-US" w:bidi="ar-SA"/>
              </w:rPr>
              <w:t>(lista wyboru)</w:t>
            </w:r>
          </w:p>
        </w:tc>
        <w:tc>
          <w:tcPr>
            <w:tcW w:w="278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Metody weryfikacji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i/>
                <w:kern w:val="0"/>
                <w:sz w:val="18"/>
                <w:szCs w:val="18"/>
                <w:lang w:val="pl-PL" w:eastAsia="en-US" w:bidi="ar-SA"/>
              </w:rPr>
              <w:t>(lista wyboru)</w:t>
            </w:r>
          </w:p>
        </w:tc>
        <w:tc>
          <w:tcPr>
            <w:tcW w:w="254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Sposoby dokumentacji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i/>
                <w:kern w:val="0"/>
                <w:sz w:val="18"/>
                <w:szCs w:val="18"/>
                <w:lang w:val="pl-PL" w:eastAsia="en-US" w:bidi="ar-SA"/>
              </w:rPr>
              <w:t>(lista wyboru)</w:t>
            </w:r>
          </w:p>
        </w:tc>
      </w:tr>
      <w:tr>
        <w:trPr/>
        <w:tc>
          <w:tcPr>
            <w:tcW w:w="9061" w:type="dxa"/>
            <w:gridSpan w:val="4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WIEDZA</w:t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W_01</w:t>
            </w:r>
          </w:p>
        </w:tc>
        <w:tc>
          <w:tcPr>
            <w:tcW w:w="264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 xml:space="preserve"> </w:t>
            </w: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Dyskusja,  prezentacja, studium przypadku</w:t>
            </w:r>
          </w:p>
        </w:tc>
        <w:tc>
          <w:tcPr>
            <w:tcW w:w="278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 xml:space="preserve">  </w:t>
            </w: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Zaliczenie ustne</w:t>
            </w:r>
          </w:p>
        </w:tc>
        <w:tc>
          <w:tcPr>
            <w:tcW w:w="254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Protokół</w:t>
            </w:r>
          </w:p>
        </w:tc>
      </w:tr>
      <w:tr>
        <w:trPr/>
        <w:tc>
          <w:tcPr>
            <w:tcW w:w="9061" w:type="dxa"/>
            <w:gridSpan w:val="4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UMIEJĘTNOŚCI</w:t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U_01</w:t>
            </w:r>
          </w:p>
        </w:tc>
        <w:tc>
          <w:tcPr>
            <w:tcW w:w="264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prezentacja/studium przypadku</w:t>
            </w:r>
          </w:p>
        </w:tc>
        <w:tc>
          <w:tcPr>
            <w:tcW w:w="278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Zaliczenie ustne</w:t>
            </w:r>
          </w:p>
        </w:tc>
        <w:tc>
          <w:tcPr>
            <w:tcW w:w="254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U_02</w:t>
            </w:r>
          </w:p>
        </w:tc>
        <w:tc>
          <w:tcPr>
            <w:tcW w:w="264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dyskusja</w:t>
            </w:r>
          </w:p>
        </w:tc>
        <w:tc>
          <w:tcPr>
            <w:tcW w:w="278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Zaliczenie ustne</w:t>
            </w:r>
          </w:p>
        </w:tc>
        <w:tc>
          <w:tcPr>
            <w:tcW w:w="254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</w:tr>
      <w:tr>
        <w:trPr/>
        <w:tc>
          <w:tcPr>
            <w:tcW w:w="9061" w:type="dxa"/>
            <w:gridSpan w:val="4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KOMPETENCJE SPOŁECZNE</w:t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K_01</w:t>
            </w:r>
          </w:p>
        </w:tc>
        <w:tc>
          <w:tcPr>
            <w:tcW w:w="264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Dyskusja</w:t>
            </w:r>
          </w:p>
        </w:tc>
        <w:tc>
          <w:tcPr>
            <w:tcW w:w="278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Zaliczenie ustne</w:t>
            </w:r>
          </w:p>
        </w:tc>
        <w:tc>
          <w:tcPr>
            <w:tcW w:w="254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K_02</w:t>
            </w:r>
          </w:p>
        </w:tc>
        <w:tc>
          <w:tcPr>
            <w:tcW w:w="264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Praca w grupie/dyskusja</w:t>
            </w:r>
          </w:p>
        </w:tc>
        <w:tc>
          <w:tcPr>
            <w:tcW w:w="278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Zaliczenie ustne</w:t>
            </w:r>
          </w:p>
        </w:tc>
        <w:tc>
          <w:tcPr>
            <w:tcW w:w="254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K_...</w:t>
            </w:r>
          </w:p>
        </w:tc>
        <w:tc>
          <w:tcPr>
            <w:tcW w:w="264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78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  <w:tc>
          <w:tcPr>
            <w:tcW w:w="254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/>
              </w:rPr>
            </w:r>
          </w:p>
        </w:tc>
      </w:tr>
    </w:tbl>
    <w:p>
      <w:pPr>
        <w:pStyle w:val="Normal"/>
        <w:spacing w:before="0" w:after="0"/>
        <w:rPr/>
      </w:pPr>
      <w:r>
        <w:rPr/>
      </w:r>
    </w:p>
    <w:p>
      <w:pPr>
        <w:pStyle w:val="ListParagraph"/>
        <w:ind w:left="1080" w:hanging="0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Kryteria oceny, wagi…</w:t>
      </w:r>
    </w:p>
    <w:p>
      <w:pPr>
        <w:pStyle w:val="ListParagraph"/>
        <w:ind w:left="1080" w:hanging="0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Na ocenę końcową składa się: </w:t>
      </w:r>
    </w:p>
    <w:p>
      <w:pPr>
        <w:pStyle w:val="ListParagraph"/>
        <w:numPr>
          <w:ilvl w:val="0"/>
          <w:numId w:val="3"/>
        </w:numPr>
        <w:rPr>
          <w:bCs/>
          <w:sz w:val="24"/>
          <w:szCs w:val="24"/>
        </w:rPr>
      </w:pPr>
      <w:r>
        <w:rPr>
          <w:bCs/>
          <w:sz w:val="24"/>
          <w:szCs w:val="24"/>
        </w:rPr>
        <w:t>Aktywność studenta podczas zajęć</w:t>
      </w:r>
    </w:p>
    <w:p>
      <w:pPr>
        <w:pStyle w:val="ListParagraph"/>
        <w:numPr>
          <w:ilvl w:val="0"/>
          <w:numId w:val="3"/>
        </w:num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ocena z zaliczenia ustnego tj. odpowiedź na trzy pytania na ocenę bardzo dobrą, odpowiedz na dwa pytania na ocenę dobra, odpowiedź na jedno pytanie na ocenę dostateczną, brak odpowiedzi na zadane pytania- ocena niedostateczna </w:t>
      </w:r>
    </w:p>
    <w:p>
      <w:pPr>
        <w:pStyle w:val="Normal"/>
        <w:rPr>
          <w:b/>
        </w:rPr>
      </w:pPr>
      <w:r>
        <w:rPr/>
        <w:t>O</w:t>
      </w:r>
      <w:r>
        <w:rPr>
          <w:b/>
        </w:rPr>
        <w:t>bciążenie pracą studenta</w:t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539"/>
        <w:gridCol w:w="4522"/>
      </w:tblGrid>
      <w:tr>
        <w:trPr/>
        <w:tc>
          <w:tcPr>
            <w:tcW w:w="453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Forma aktywności studenta</w:t>
            </w:r>
          </w:p>
        </w:tc>
        <w:tc>
          <w:tcPr>
            <w:tcW w:w="452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Liczba godzin</w:t>
            </w:r>
          </w:p>
        </w:tc>
      </w:tr>
      <w:tr>
        <w:trPr/>
        <w:tc>
          <w:tcPr>
            <w:tcW w:w="453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Liczba godzin kontaktowych z nauczycielem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  <w:tc>
          <w:tcPr>
            <w:tcW w:w="452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30</w:t>
            </w:r>
          </w:p>
        </w:tc>
      </w:tr>
      <w:tr>
        <w:trPr/>
        <w:tc>
          <w:tcPr>
            <w:tcW w:w="453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Liczba godzin indywidualnej pracy studenta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  <w:tc>
          <w:tcPr>
            <w:tcW w:w="452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60</w:t>
            </w:r>
          </w:p>
        </w:tc>
      </w:tr>
    </w:tbl>
    <w:p>
      <w:pPr>
        <w:pStyle w:val="Normal"/>
        <w:spacing w:before="0" w:after="0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Literatura</w:t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062"/>
      </w:tblGrid>
      <w:tr>
        <w:trPr/>
        <w:tc>
          <w:tcPr>
            <w:tcW w:w="906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Literatura podstawowa</w:t>
            </w:r>
          </w:p>
        </w:tc>
      </w:tr>
      <w:tr>
        <w:trPr/>
        <w:tc>
          <w:tcPr>
            <w:tcW w:w="906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M. Kuć, Kryminologia, Warszawa 2013.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B. Hołyst, Kryminologia, Warszawa 2022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P. Chomczyński, P. Frąckowiak, D. Woźniakowska, Kryminologia. Teoria i praktyka, Warszawa 2024</w:t>
            </w:r>
          </w:p>
        </w:tc>
      </w:tr>
      <w:tr>
        <w:trPr/>
        <w:tc>
          <w:tcPr>
            <w:tcW w:w="906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Literatura uzupełniająca</w:t>
            </w:r>
          </w:p>
        </w:tc>
      </w:tr>
      <w:tr>
        <w:trPr/>
        <w:tc>
          <w:tcPr>
            <w:tcW w:w="906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rFonts w:eastAsia="Calibri" w:cs=""/>
                <w:bCs/>
                <w:kern w:val="0"/>
                <w:sz w:val="22"/>
                <w:szCs w:val="22"/>
                <w:lang w:val="pl-PL" w:eastAsia="en-US" w:bidi="ar-SA"/>
              </w:rPr>
              <w:t>Papierz A., Stożek M., Iwoński M., Kryminologia, wyd. Wolters Kulwer 2012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Cs/>
                <w:kern w:val="0"/>
                <w:sz w:val="22"/>
                <w:szCs w:val="22"/>
                <w:lang w:val="pl-PL" w:eastAsia="en-US" w:bidi="ar-SA"/>
              </w:rPr>
              <w:t>Pływaczewski E.W., Kryminologia. Stan i perspektywy rozwoju., wyd. Wolters Kulwer 2019</w:t>
            </w:r>
          </w:p>
        </w:tc>
      </w:tr>
    </w:tbl>
    <w:p>
      <w:pPr>
        <w:pStyle w:val="Normal"/>
        <w:spacing w:before="0" w:after="0"/>
        <w:rPr>
          <w:b/>
        </w:rPr>
      </w:pPr>
      <w:r>
        <w:rPr>
          <w:b/>
        </w:rPr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417" w:right="1417" w:gutter="0" w:header="708" w:top="1417" w:footer="708" w:bottom="1417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  <w:font w:name="Arial"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opka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opka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opk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Gwka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Gwka"/>
      <w:jc w:val="right"/>
      <w:rPr>
        <w:i/>
        <w:i/>
      </w:rPr>
    </w:pPr>
    <w:r>
      <w:rPr>
        <w:i/>
      </w:rPr>
      <w:t>Załącznik nr 5</w:t>
    </w:r>
  </w:p>
  <w:p>
    <w:pPr>
      <w:pStyle w:val="Gwka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Gwka"/>
      <w:jc w:val="right"/>
      <w:rPr>
        <w:i/>
        <w:i/>
      </w:rPr>
    </w:pPr>
    <w:r>
      <w:rPr>
        <w:i/>
      </w:rPr>
      <w:t>Załącznik nr 5</w:t>
    </w:r>
  </w:p>
  <w:p>
    <w:pPr>
      <w:pStyle w:val="Gwka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180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5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2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9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6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4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1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8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56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425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paragraph" w:styleId="Nagwek2">
    <w:name w:val="Heading 2"/>
    <w:basedOn w:val="Gwka"/>
    <w:next w:val="Tretekstu"/>
    <w:qFormat/>
    <w:pPr>
      <w:spacing w:before="200" w:after="120"/>
      <w:outlineLvl w:val="1"/>
    </w:pPr>
    <w:rPr>
      <w:rFonts w:ascii="Liberation Serif" w:hAnsi="Liberation Serif" w:eastAsia="Segoe UI" w:cs="Tahoma"/>
      <w:b/>
      <w:bCs/>
      <w:sz w:val="36"/>
      <w:szCs w:val="36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Tabulatory" w:customStyle="1">
    <w:name w:val="tabulatory"/>
    <w:basedOn w:val="DefaultParagraphFont"/>
    <w:qFormat/>
    <w:rsid w:val="00d406f6"/>
    <w:rPr/>
  </w:style>
  <w:style w:type="character" w:styleId="Czeinternetowe">
    <w:name w:val="Hyperlink"/>
    <w:basedOn w:val="DefaultParagraphFont"/>
    <w:uiPriority w:val="99"/>
    <w:unhideWhenUsed/>
    <w:rsid w:val="00d406f6"/>
    <w:rPr>
      <w:color w:val="0000FF"/>
      <w:u w:val="single"/>
    </w:rPr>
  </w:style>
  <w:style w:type="character" w:styleId="Access" w:customStyle="1">
    <w:name w:val="access"/>
    <w:basedOn w:val="DefaultParagraphFont"/>
    <w:qFormat/>
    <w:rsid w:val="003c65da"/>
    <w:rPr/>
  </w:style>
  <w:style w:type="character" w:styleId="Luchili" w:customStyle="1">
    <w:name w:val="luc_hili"/>
    <w:basedOn w:val="DefaultParagraphFont"/>
    <w:qFormat/>
    <w:rsid w:val="001a5d37"/>
    <w:rPr/>
  </w:style>
  <w:style w:type="character" w:styleId="NagwekZnak" w:customStyle="1">
    <w:name w:val="Nagłówek Znak"/>
    <w:basedOn w:val="DefaultParagraphFont"/>
    <w:uiPriority w:val="99"/>
    <w:qFormat/>
    <w:rsid w:val="00b04272"/>
    <w:rPr/>
  </w:style>
  <w:style w:type="character" w:styleId="StopkaZnak" w:customStyle="1">
    <w:name w:val="Stopka Znak"/>
    <w:basedOn w:val="DefaultParagraphFont"/>
    <w:uiPriority w:val="99"/>
    <w:qFormat/>
    <w:rsid w:val="00b04272"/>
    <w:rPr/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sid w:val="00b04272"/>
    <w:rPr>
      <w:rFonts w:ascii="Tahoma" w:hAnsi="Tahoma" w:cs="Tahoma"/>
      <w:sz w:val="16"/>
      <w:szCs w:val="16"/>
    </w:rPr>
  </w:style>
  <w:style w:type="character" w:styleId="Wyrnienie">
    <w:name w:val="Emphasis"/>
    <w:qFormat/>
    <w:rPr>
      <w:i/>
      <w:iCs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 w:customStyle="1">
    <w:name w:val="Indeks"/>
    <w:basedOn w:val="Normal"/>
    <w:qFormat/>
    <w:pPr>
      <w:suppressLineNumbers/>
    </w:pPr>
    <w:rPr>
      <w:rFonts w:cs="Lucida Sans"/>
    </w:rPr>
  </w:style>
  <w:style w:type="paragraph" w:styleId="Gwkaistopka" w:customStyle="1">
    <w:name w:val="Główka i stopka"/>
    <w:basedOn w:val="Normal"/>
    <w:qFormat/>
    <w:pPr/>
    <w:rPr/>
  </w:style>
  <w:style w:type="paragraph" w:styleId="Gwka">
    <w:name w:val="Header"/>
    <w:basedOn w:val="Normal"/>
    <w:next w:val="Tretekstu"/>
    <w:link w:val="NagwekZnak"/>
    <w:uiPriority w:val="99"/>
    <w:unhideWhenUsed/>
    <w:rsid w:val="00b04272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Western" w:customStyle="1">
    <w:name w:val="western"/>
    <w:basedOn w:val="Normal"/>
    <w:qFormat/>
    <w:rsid w:val="007d0038"/>
    <w:pPr>
      <w:spacing w:lineRule="atLeast" w:line="102" w:beforeAutospacing="1" w:after="119"/>
    </w:pPr>
    <w:rPr>
      <w:rFonts w:ascii="Times New Roman" w:hAnsi="Times New Roman" w:eastAsia="Times New Roman" w:cs="Times New Roman"/>
      <w:color w:val="000000"/>
      <w:sz w:val="24"/>
      <w:szCs w:val="24"/>
      <w:lang w:eastAsia="pl-PL"/>
    </w:rPr>
  </w:style>
  <w:style w:type="paragraph" w:styleId="ListParagraph">
    <w:name w:val="List Paragraph"/>
    <w:basedOn w:val="Normal"/>
    <w:uiPriority w:val="34"/>
    <w:qFormat/>
    <w:rsid w:val="007d0038"/>
    <w:pPr>
      <w:spacing w:before="0" w:after="200"/>
      <w:ind w:left="720" w:hanging="0"/>
      <w:contextualSpacing/>
    </w:pPr>
    <w:rPr/>
  </w:style>
  <w:style w:type="paragraph" w:styleId="NormalWeb">
    <w:name w:val="Normal (Web)"/>
    <w:basedOn w:val="Normal"/>
    <w:uiPriority w:val="99"/>
    <w:semiHidden/>
    <w:unhideWhenUsed/>
    <w:qFormat/>
    <w:rsid w:val="00d27ddc"/>
    <w:pPr>
      <w:spacing w:lineRule="auto" w:line="240" w:beforeAutospacing="1" w:after="119"/>
    </w:pPr>
    <w:rPr>
      <w:rFonts w:ascii="Times New Roman" w:hAnsi="Times New Roman" w:eastAsia="Times New Roman" w:cs="Times New Roman"/>
      <w:sz w:val="24"/>
      <w:szCs w:val="24"/>
      <w:lang w:eastAsia="pl-PL"/>
    </w:rPr>
  </w:style>
  <w:style w:type="paragraph" w:styleId="Default" w:customStyle="1">
    <w:name w:val="Default"/>
    <w:qFormat/>
    <w:rsid w:val="007841b3"/>
    <w:pPr>
      <w:widowControl/>
      <w:suppressAutoHyphens w:val="true"/>
      <w:bidi w:val="0"/>
      <w:spacing w:before="0" w:after="0"/>
      <w:jc w:val="left"/>
    </w:pPr>
    <w:rPr>
      <w:rFonts w:ascii="Arial" w:hAnsi="Arial" w:eastAsia="Calibri" w:cs="Arial"/>
      <w:color w:val="000000"/>
      <w:kern w:val="0"/>
      <w:sz w:val="24"/>
      <w:szCs w:val="24"/>
      <w:lang w:val="pl-PL" w:eastAsia="en-US" w:bidi="ar-SA"/>
    </w:rPr>
  </w:style>
  <w:style w:type="paragraph" w:styleId="Stopka">
    <w:name w:val="Footer"/>
    <w:basedOn w:val="Normal"/>
    <w:link w:val="StopkaZnak"/>
    <w:uiPriority w:val="99"/>
    <w:unhideWhenUsed/>
    <w:rsid w:val="00b04272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b04272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Zawartotabeli" w:customStyle="1">
    <w:name w:val="Zawartość tabeli"/>
    <w:basedOn w:val="Normal"/>
    <w:qFormat/>
    <w:pPr>
      <w:widowControl w:val="false"/>
      <w:suppressLineNumbers/>
    </w:pPr>
    <w:rPr/>
  </w:style>
  <w:style w:type="paragraph" w:styleId="Nagwektabeli" w:customStyle="1">
    <w:name w:val="Nagłówek tabeli"/>
    <w:basedOn w:val="Zawartotabeli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732e45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<Relationship Id="rId12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78502E-9938-4406-B67D-292D35BC9D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Application>LibreOffice/7.5.6.2$Windows_X86_64 LibreOffice_project/f654817fb68d6d4600d7d2f6b647e47729f55f15</Application>
  <AppVersion>15.0000</AppVersion>
  <Pages>4</Pages>
  <Words>470</Words>
  <Characters>3380</Characters>
  <CharactersWithSpaces>3727</CharactersWithSpaces>
  <Paragraphs>122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2021-12-03T12:23:00Z</dcterms:created>
  <dc:creator>Anna Łukasiewicz</dc:creator>
  <dc:description/>
  <dc:language>pl-PL</dc:language>
  <cp:lastModifiedBy/>
  <cp:lastPrinted>2019-01-23T11:10:00Z</cp:lastPrinted>
  <dcterms:modified xsi:type="dcterms:W3CDTF">2024-12-19T13:01:00Z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