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Pomoc humanitarna i rozwojowa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Humanitarian and Development Aid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Robert Tabaszewski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W1 – Podstawy bezpieczeństwa narodowego, międzynarodowe prawo publiczne, prawo międzynarodowe dotyczące konfliktów zbrojnych, prawa człowieka w kontekście międzynarodowym, zarządzanie kryzysowe.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W2 – Student posiada podstawową wiedzę o miejscu i znaczeniu nauk o bezpieczeństwie narodowym w systemie nauk oraz ich relacjach do innych nauk, takich jak stosunki międzynarodowe, nauki polityczne i zarządzanie kryzysowe.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W3 – Student zna i rozumie zasady interpretacji przepisów prawa dotyczących bezpieczeństwa narodowego, w tym prawa międzynarodowego, prawa obronnego oraz regulacji dotyczących zarządzania kryzysowego.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Poszerzenie wiedzy na temat podstawowych zasad, mechanizmów i struktur działania międzynarodowych organizacji humanitarnych oraz rozwojowych. Studenci zapoznają się z głównymi aktorami pomocy humanitarnej i rozwojowej (ONZ, Czerwony Krzyż, organizacje pozarządowe) oraz ich rolą w reagowaniu na kryzysy i wspieraniu zrównoważonego rozwoju.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Zdobycie wiedzy teoretycznej na temat podstawowych zasad międzynarodowego prawa humanitarnego oraz praw człowieka, w tym ich zastosowania w sytuacjach konfliktów zbrojnych i katastrof naturalnych. Przedstawione zostaną również wybrane przykłady działań humanitarnych i rozwojowych oraz ich wyzwania praktyczne.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Zapoznanie studentów z metodami planowania i koordynacji działań pomocowych oraz procesem negocjacji humanitarnych. Omówione zostaną strategie skutecznej komunikacji międzykulturowej oraz znaczenie współpracy międzynarodowej w rozwiązywaniu problemów globalnych.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w zaawansowanym stopniu zależności i uwarunkowania dotyczące pomocy humanitarnej i rozwojowej w kontekście krajów wysoko rozwiniętych i rozwijających się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wykorzystywać zdobytą wiedzę w celu analizy i interpretacji działań humanitarnych oraz przyczyn różnic w poziomie rozwoju i dostępu do pomocy między poszczególnymi regionami.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dokonać wyboru danych oraz ich interpretacji w kontekście analizy skuteczności i efektywności pomocy humanitarnej oraz rozwojowej.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analizuje międzynarodową politykę na rzecz pomocy humanitarnej i rozwojowej oraz współpracy między podmiotami zaangażowanymi w realizację tych działań.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K_01, K_04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Definiowanie podstawowych pojęć związanych z pomocą humanitarną i współpracą na rzecz rozwoju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Geneza i cele pomocy humanitarnej 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Międzynarodowe standardy prawne pomocy humanitarnej 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Podmioty pomocy humanitarnej 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Rodzaje pomocy rozwojowej i humanitarnej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Polityka humanitarna i polityka rozwojowa ONZ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Polityka humanitarna i polityka rozwojowa Unii Europejskiej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Ochrona podmiotów wrażliwych w pomocy humanitarnej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Finansowanie pomocy humanitarnej 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Cele i ogólne zasady udzielania pomocy humanitarnej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Ewolucja form i znaczenia pomocy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Ewolucja i znaczenie polskiej polityki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Rola sektora pozarządowego w udzielaniu pomocy humanitarnej i rozwojowej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Organizacje religijne wobec problemów rozwoju i pomocy humanitarnej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Efektywność i skuteczność działań humanitarnych i rozwojowych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Ocenione prace studentów. Protokół.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W_…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konwencjonalny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Ocenione prace studentów. Protokół.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U_….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Ocenione prace studentów. Protokół.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K_...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>
      <w:pPr>
        <w:pStyle w:val="Normal"/>
        <w:ind w:left="360" w:hanging="0"/>
        <w:jc w:val="both"/>
        <w:rPr>
          <w:bCs/>
        </w:rPr>
      </w:pPr>
      <w:r>
        <w:rPr>
          <w:bCs/>
        </w:rPr>
        <w:t>W zakresie wykładu uzyskania oceny pozytywnej z egzaminu w formie testu jednokrotnego wyboru składającego się z 21 pytań wymaga otrzymanie min. 51 % poprawnych odpowiedzi. Poprawa egzaminu w formie ustnej. Egzamin będzie się odbywał w formie stacjonarnej. Poprawa egzaminu w formie ustnej, z czego do uzyskania oceny pozytywnej wymagana jest odpowiedź na przynajmniej dwa Rozkład ocen dla wykładu: dst – 11-13 pkt; dst+ – 14-15; db – 16-18 pkt; db+ – 19-20 pkt; bdb –21 pkt.</w:t>
      </w:r>
    </w:p>
    <w:p>
      <w:pPr>
        <w:pStyle w:val="Normal"/>
        <w:ind w:left="360" w:hanging="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70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Deszczyński P.,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US" w:bidi="ar-SA"/>
              </w:rPr>
              <w:t>Konceptualne podstawy pomocy rozwojowej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Poznań 2011.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Grzebyk, P., Mikos-Skuza, E. (red.),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humanitarna w świetle prawa i praktyki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Warszawa 2016.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Kopiński, D.,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Warszawa 2011.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Latoszek, E. (red.),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 dla krajów rozwijających się na przełomie XX i XXI wieku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Warszawa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Orzeszyna K.,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Międzynarodowe prawo humanitarne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, [w:] K. Orzeszyna, M. Skwarzyński, Tabaszewski R.,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Prawo międzynarodowe w systemie ochrony praw człowieka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C.H. Beck, Warszawa 2022.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Smolaga, M.,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 instrumentem oddziaływania na sferę bezpieczeństwa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[w:] Problemy bezpieczeństwa Europy i Azji, red. M. Gajewski, M. Nowak-Paralusz, Toruń: 2016, s. 75-88.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Tabaszewski R.,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 dla krajów afrykańskich na przykładzie Europejskiego Instrumentu na Rzecz Demokracji i Praw Człowieka na Świecie (EIDHR)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, [w:]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Przestrzenie Badawcze Młodych Naukowców. Inspiracje – Innowacje – Wdrożenia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R. Tabaszewski (red.), K. Sawicki, A. Błachut, Lublin 2016, s. 105-114.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Dobrowolska-Polak, J. (red.),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Polityka budowy pokoju. Pomoc humanitarna i rozwojowa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Warszawa-Poznań: 2013.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Nycz, G.,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 Unii Europejskiej a wspieranie demokratyzacji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2016.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Pomoc Rozwojowa, Warszawa: Polskie Centrum Pomocy Międzynarodowej (PCPM), 2009.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Riedel R.,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Polityka globalna i rozwój: wprowadzenie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Warszawa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Smolaga, M.,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Pomoc rozwojowa UE skierowana do uchodźców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[w:] Europa wobec problemu uchodźców w XXI wieku, red. A. Wojtaszak, J. Jartyś, A. Krawcewicz, Szczecin: Wydawnictwo Minerwa, 2016, s. 45-60.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Tabaszewski R.,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Europejski Fundusz na rzecz Demokracji jako instytucja „in statu nascendi”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 xml:space="preserve">, [w:] 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4"/>
                <w:szCs w:val="24"/>
                <w:lang w:val="pl-PL" w:eastAsia="en-GB" w:bidi="ar-SA"/>
              </w:rPr>
              <w:t>Aktualne kierunki rozwoju prawa Unii Europejskiej 2011/2012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GB" w:bidi="ar-SA"/>
              </w:rPr>
              <w:t>, K. Dobosz, M. Scheibe, K. Nowak (red.), Kraków 2013, s. 167-178.</w:t>
            </w:r>
          </w:p>
          <w:p>
            <w:pPr>
              <w:pStyle w:val="Default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lang w:val="pl-PL" w:eastAsia="en-US" w:bidi="ar-SA"/>
              </w:rPr>
              <w:t xml:space="preserve">Tabaszewski R., </w:t>
            </w:r>
            <w:r>
              <w:rPr>
                <w:rFonts w:eastAsia="Calibri" w:cs="Times New Roman" w:ascii="Times New Roman" w:hAnsi="Times New Roman"/>
                <w:i/>
                <w:iCs/>
                <w:color w:val="auto"/>
                <w:kern w:val="0"/>
                <w:lang w:val="pl-PL" w:eastAsia="en-US" w:bidi="ar-SA"/>
              </w:rPr>
              <w:t>Współpraca FAO i UE w zapewnieniu „Zielonego Ładu” i realizacji Agendy 2030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lang w:val="pl-PL" w:eastAsia="en-US" w:bidi="ar-SA"/>
              </w:rPr>
              <w:t>, „Ubezpieczenia w Rolnictwie. Materiały i Studia”, ISSN: 1507-4757, 2021, nr 76(2), s. 149-184.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Wyrnienie">
    <w:name w:val="Emphasis"/>
    <w:basedOn w:val="DefaultParagraphFont"/>
    <w:uiPriority w:val="20"/>
    <w:qFormat/>
    <w:rsid w:val="00f04ebe"/>
    <w:rPr>
      <w:i/>
      <w:iCs/>
    </w:rPr>
  </w:style>
  <w:style w:type="character" w:styleId="Strong">
    <w:name w:val="Strong"/>
    <w:basedOn w:val="DefaultParagraphFont"/>
    <w:uiPriority w:val="22"/>
    <w:qFormat/>
    <w:rsid w:val="00f04eb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f8410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LibreOffice/7.5.6.2$Windows_X86_64 LibreOffice_project/f654817fb68d6d4600d7d2f6b647e47729f55f15</Application>
  <AppVersion>15.0000</AppVersion>
  <Pages>4</Pages>
  <Words>941</Words>
  <Characters>6382</Characters>
  <CharactersWithSpaces>7172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2024-11-24T23:07:00Z</dcterms:created>
  <dc:creator>Anna Łukasiewicz</dc:creator>
  <dc:description/>
  <dc:language>pl-PL</dc:language>
  <cp:lastModifiedBy/>
  <cp:lastPrinted>2019-01-23T11:10:00Z</cp:lastPrinted>
  <dcterms:modified xsi:type="dcterms:W3CDTF">2024-11-28T12:37:04Z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