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Przestępczość narkotykowa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Drug-related crime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Wydział Nauk Społecznych, Bezpieczeństwo 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stopnia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>
          <w:trHeight w:val="390" w:hRule="atLeast"/>
        </w:trPr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Mgr Andrzej Sikora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Ogólna wiedza o przestępczości narkotykowej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Celem kształcenia jest przybliżenie problematyki przestępczości narkotykowej, jej szkodliwości dla jednostki i dla społeczeństwa.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Zapoznanie z metodami  przeciwdziałania i zapobiegania przestępczości narkotykowej.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Poznanie metod typowania ofiar i sprawców przestępstw narkotykowych.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uwarunkowań bezpieczeństwa w kontekście przestępczości narkotykowej oraz materialnoprawnych i procesowych aspektów przestępstw narkotykowych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>
          <w:trHeight w:val="345" w:hRule="atLeast"/>
        </w:trPr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zdobytą wiedzę teoretyczną do analizowania, diagnozowania, wyjaśniania oraz prognozowania kwestii szczegółowych donoszących się do przestępczości narkotykowej przy jednoczesnym wykorzystaniu przepisów prawa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Cs/>
              </w:rPr>
            </w:pPr>
            <w:r>
              <w:rPr>
                <w:rFonts w:eastAsia="Calibri"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Cs/>
              </w:rPr>
            </w:pPr>
            <w:r>
              <w:rPr>
                <w:rFonts w:eastAsia="Calibri"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szacować stopień społecznej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szkodliwości przestępstw narkotykowych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jest gotów do podjęcia merytorycznej polemiki w zakresie przestępstw narkotykowych, z wykorzystaniem obowiązującego prawa, która ukierunkowana jest na działanie prospołeczne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="28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pl-PL" w:bidi="ar-SA"/>
              </w:rPr>
              <w:t>Zaznajomienie studentów z problematyką przestępczości narkotykowej, w tym nielegalnej produkcji oraz przemytu środków psychoaktywnych. Zapoznanie ze skutkami działania nowych substancji psychoaktywnych (w tym dopalaczy). Zakres przestrzennej skuteczności ustawy o przeciwdziałaniu narkomani, Szacowanie społecznej szkodliwości przestępstw narkotykowych; analiza czynników, które należy brać pod uwagę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tekstu, dyskusja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studium przypadku,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 studium przypadku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Student nie osiągnął założonego efektu (ocena 2,0),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Student wykazuje dostateczny (3,0) stopień wiedzy/umiejętności,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Student wykazuje plus dostateczny (3,5) stopień wiedzy/umiejętności, </w:t>
      </w:r>
    </w:p>
    <w:p>
      <w:pPr>
        <w:pStyle w:val="ListParagraph"/>
        <w:spacing w:lineRule="auto" w:line="240"/>
        <w:ind w:left="0" w:hanging="0"/>
        <w:rPr>
          <w:sz w:val="24"/>
          <w:szCs w:val="24"/>
        </w:rPr>
      </w:pPr>
      <w:r>
        <w:rPr>
          <w:sz w:val="24"/>
          <w:szCs w:val="24"/>
        </w:rPr>
        <w:t>Student wykazuje dobry stopień (4,0) wiedzy/umiejętności,</w:t>
      </w:r>
    </w:p>
    <w:p>
      <w:pPr>
        <w:pStyle w:val="ListParagraph"/>
        <w:spacing w:lineRule="auto" w:line="240"/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istParagraph"/>
        <w:spacing w:lineRule="auto" w:line="240"/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Student wykazuje plus dobry stopień (4,5) wiedzy/umiejętności,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Student wykazuje bardzo dobry stopień (5,0)</w:t>
      </w:r>
    </w:p>
    <w:p>
      <w:pPr>
        <w:pStyle w:val="ListParagraph"/>
        <w:ind w:left="340" w:hanging="0"/>
        <w:rPr>
          <w:b/>
        </w:rPr>
      </w:pPr>
      <w:r>
        <w:rPr>
          <w:b/>
        </w:rPr>
        <w:t>VII.        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30.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ListParagraph"/>
        <w:ind w:left="397" w:hanging="0"/>
        <w:rPr>
          <w:b/>
        </w:rPr>
      </w:pPr>
      <w:r>
        <w:rPr>
          <w:b/>
        </w:rPr>
        <w:t>VIII.       Bibliografia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Bibliografia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Mądrzejowski W., Majewski P., Śnieżko S.,  Zwalczanie przestępczości : wybrane metody i narzędzia, wyd. Editions Spotkania, Warszawa 2017.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Przestępstwa narkotykowe i dopalacze. Komentarz, red. Górowski W.,  Zając D., Kraków 2019;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Ustawa z dnia 29 lipca 2005 r. o przeciwdziałaniu narkomanii, Dz.U. 2005 nr 179 poz. 1485;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4. Jędrzejko M.,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Narkotyki i nowe substancje psychoaktywne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wyd. Aspra, Warszawa 2019;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5.Pływaczewski E., Jurgielewicz-Delegacz E.,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Zorganizowana przestępczość  narkotykowa w Polsce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Zeszyty Prawnicze 20.2/2020 s. 163-185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Bibliografia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Krajewski K., Sens i bezsens prohibicji, Kraków 2001;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2.Europejski raport narkotykowy 2016, Tendencje i osiągnięcia, Europejskie Centrum Monitorowania Narkotyków i Narkomanii, (2016), Urząd Publikacji Unii Europejskiej, Luksemburg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(EMCDDA), doi: 10.2810/424916;</w:t>
            </w:r>
          </w:p>
          <w:p>
            <w:pPr>
              <w:pStyle w:val="Nagwek2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3.Jędrzejko M., Narkotyki i dopalacze, Bellona, Warszawa 2018;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Gwka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2">
    <w:name w:val="Heading 2"/>
    <w:basedOn w:val="Gwka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Lrzxr" w:customStyle="1">
    <w:name w:val="lrzxr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LibreOffice/7.5.6.2$Windows_X86_64 LibreOffice_project/f654817fb68d6d4600d7d2f6b647e47729f55f15</Application>
  <AppVersion>15.0000</AppVersion>
  <Pages>4</Pages>
  <Words>540</Words>
  <Characters>4011</Characters>
  <CharactersWithSpaces>4431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>Grzegorz Tutak</cp:lastModifiedBy>
  <cp:lastPrinted>2019-01-23T11:10:00Z</cp:lastPrinted>
  <dcterms:modified xsi:type="dcterms:W3CDTF">2024-12-15T13:57:00Z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