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120"/>
        <w:rPr>
          <w:b/>
        </w:rPr>
      </w:pPr>
      <w:r>
        <w:rPr>
          <w:b/>
        </w:rPr>
        <w:t xml:space="preserve">KARTA PRZEDMIOTU </w:t>
      </w:r>
    </w:p>
    <w:p>
      <w:pPr>
        <w:pStyle w:val="Normal"/>
        <w:spacing w:before="0" w:after="120"/>
        <w:rPr/>
      </w:pPr>
      <w:r>
        <w:rPr/>
        <w:t>Cykl kształcenia od roku akademickiego: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Dane podstawowe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Nazwa przedmiotu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Współczesne piractwo morskie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Nazwa przedmiotu w języku angielskim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en-US"/>
              </w:rPr>
              <w:t>Modern maritime piracy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 xml:space="preserve">Kierunek studiów 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kern w:val="0"/>
              </w:rPr>
              <w:t>Bezpieczeństwo narodowe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Poziom studiów (I, II, jednolite magisterskie)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I stopień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Forma studiów (stacjonarne, niestacjonarne)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stacjonarne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Dyscyplina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  <w:lang w:val="pl-PL"/>
              </w:rPr>
              <w:t xml:space="preserve">Nauki o Polityce i Administracji i Nauki o Bezpieczeństwie 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Język wykładowy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polski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Koordynator przedmiotu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Dr hab. Andrzej Niewiński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03"/>
        <w:gridCol w:w="2303"/>
        <w:gridCol w:w="2303"/>
        <w:gridCol w:w="2302"/>
      </w:tblGrid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 xml:space="preserve">Forma zajęć </w:t>
            </w:r>
            <w:r>
              <w:rPr>
                <w:i/>
                <w:kern w:val="0"/>
              </w:rPr>
              <w:t>(katalog zamknięty ze słownika)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Liczba godzin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semestr</w:t>
            </w:r>
          </w:p>
        </w:tc>
        <w:tc>
          <w:tcPr>
            <w:tcW w:w="23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Punkty ECTS</w:t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wykład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3</w:t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konwersatorium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30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V</w:t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ćwiczenia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laboratorium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warsztaty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seminarium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proseminarium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lektorat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praktyki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zajęcia terenowe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pracownia dyplomowa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translatorium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wizyta studyjna</w:t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302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3"/>
        <w:gridCol w:w="6978"/>
      </w:tblGrid>
      <w:tr>
        <w:trPr/>
        <w:tc>
          <w:tcPr>
            <w:tcW w:w="223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Wymagania wstępne</w:t>
            </w:r>
          </w:p>
        </w:tc>
        <w:tc>
          <w:tcPr>
            <w:tcW w:w="69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Zajęcia dotyczące współczesnego piractwa morskiego poruszają interdyscyplinarne zagadnienia związane z prawem, bezpieczeństwem międzynarodowym, historią, geografią i gospodarką morską.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Gotowość do samodzielnego poszerzania wiedzy o współczesnych zagrożeniach na morzach i oceanach.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Zrozumienie podstawowych pojęć związanych z bezpieczeństwem globalnym, zagrożeniami asymetrycznymi i konfliktami międzynarodowymi.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Ogólna orientacja w geografii morskiej, w tym znajomość kluczowych szlaków żeglugowych, takich jak Cieśnina Malakka, Zatoka Adeńska czy Zatoka Gwinejska.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Cele kształcenia dla przedmiotu 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 xml:space="preserve">C1 -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 xml:space="preserve">Zajęcia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>m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ają na celu zapoznanie studentów z problematyką współczesnego piractwa na morzach i oceanach, jego przyczynami, skutkami oraz sposobami przeciwdziałania. W ramach k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>onwersatorium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 xml:space="preserve"> studenci zdobywają interdyscyplinarną wiedzę z zakresu prawa, bezpieczeństwa międzynarodowego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 xml:space="preserve">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oraz rozwijają umiejętności analityczne, niezbędne do oceny współczesnych zagrożeń na wodach międzynarodowych.</w:t>
            </w:r>
          </w:p>
        </w:tc>
      </w:tr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 xml:space="preserve">C2 -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Zrozumienie zjawiska współczesnego piractwa morskiego, jego uwarunkowań geograficznych, politycznych i ekonomicznych.</w:t>
            </w:r>
          </w:p>
        </w:tc>
      </w:tr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 xml:space="preserve">C3 -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Analiza konsekwencji piractwa morskiego dla handlu międzynarodowego, logistyki morskiej i bezpieczeństwa żeglugi.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5953"/>
        <w:gridCol w:w="2160"/>
      </w:tblGrid>
      <w:tr>
        <w:trPr/>
        <w:tc>
          <w:tcPr>
            <w:tcW w:w="109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Symbol</w:t>
            </w:r>
          </w:p>
        </w:tc>
        <w:tc>
          <w:tcPr>
            <w:tcW w:w="595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Opis efektu przedmiotowego</w:t>
            </w:r>
          </w:p>
        </w:tc>
        <w:tc>
          <w:tcPr>
            <w:tcW w:w="2160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Odniesienie do efektu kierunkowego</w:t>
            </w:r>
          </w:p>
        </w:tc>
      </w:tr>
      <w:tr>
        <w:trPr/>
        <w:tc>
          <w:tcPr>
            <w:tcW w:w="921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WIEDZA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W_01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Absolwent zna i rozumie specyfikę nauk o polityce i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administracji oraz nauk o bezpieczeństwie, a także ich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relacje do innych dyscyplin w ramach dziedziny nauk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>s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połecznych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>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K_W05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W_02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Absolwent zna i rozumie istotę oraz uwarunkowania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bezpieczeństwa państwa zarówno w skali lokalnej,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ogólnopaństwowej, jak i międzynarodowej.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K_W03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</w:t>
            </w:r>
            <w:r>
              <w:rPr>
                <w:kern w:val="0"/>
                <w:lang w:val="pl-PL"/>
              </w:rPr>
              <w:t>05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Absolwent zna i rozumie wiedzę na temat bezpieczeństwa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globalnego, systemów bezpieczeństwa państw, a także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bezpieczeństwa wewnętrznego i zewnętrznego UE.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K_W03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921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UMIEJĘTNOŚCI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U_01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Absolwent potrafi wykorzystać zdobytą wiedzę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teoretyczną do analizowania, diagnozowania, wyjaśniania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oraz prognozowania kwestii szczegółowych odnoszących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się do bezpieczeństwa narodowego.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K_U07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U_0</w:t>
            </w:r>
            <w:r>
              <w:rPr>
                <w:kern w:val="0"/>
                <w:lang w:val="pl-PL"/>
              </w:rPr>
              <w:t>5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Absolwent potrafi prawidłowo oceniać zagrożenia dla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bezpieczeństwa narodowego oraz identyfikować ich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lineRule="auto" w:line="240" w:before="0" w:after="200"/>
              <w:jc w:val="left"/>
              <w:rPr>
                <w:kern w:val="0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przyczyny.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K_U10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595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16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921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KOMPETENCJE SPOŁECZNE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K_0</w:t>
            </w:r>
            <w:r>
              <w:rPr>
                <w:rFonts w:cs="Times New Roman" w:ascii="Times New Roman" w:hAnsi="Times New Roman"/>
                <w:kern w:val="0"/>
                <w:lang w:val="pl-PL"/>
              </w:rPr>
              <w:t>3</w:t>
            </w:r>
          </w:p>
        </w:tc>
        <w:tc>
          <w:tcPr>
            <w:tcW w:w="5953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Absolwent jest gotów do dokonywania oceny i samooceny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wiedzy we wskazanym zakresie.</w:t>
            </w:r>
          </w:p>
        </w:tc>
        <w:tc>
          <w:tcPr>
            <w:tcW w:w="2160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2"/>
                <w:szCs w:val="22"/>
                <w:lang w:val="en-US" w:eastAsia="zh-CN" w:bidi="ar-SA"/>
              </w:rPr>
              <w:t>K_01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cs="Times New Roman" w:ascii="Times New Roman" w:hAnsi="Times New Roman"/>
          <w:b/>
        </w:rPr>
        <w:t>Opis przedmiotu/ treści programowe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 xml:space="preserve">Zajęcia 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>dotycz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  <w:lang w:val="pl-PL"/>
              </w:rPr>
              <w:t>ą</w:t>
            </w: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 xml:space="preserve"> analizy jednego z kluczowych wyzwań dla bezpieczeństwa międzynarodowego i gospodarki globalnej. Celem zajęć jest zrozumienie istoty współczesnego piractwa morskiego, jego uwarunkowań geograficznych, społeczno-ekonomicznych i politycznych oraz ocena skuteczności działań podejmowanych przez społeczność międzynarodową w celu jego zwalczania. Przedmiot ukazuje, jak piractwo morskie wpływa na handel międzynarodowy, transport morski oraz stabilność regionów nadbrzeżnych, a także rozwija umiejętności analizy przypadków oraz planowania strategii ochronnych.</w:t>
            </w:r>
          </w:p>
          <w:p>
            <w:pPr>
              <w:pStyle w:val="Nagwek3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  <w:lang w:val="pl-PL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Treści programowe</w:t>
            </w:r>
            <w:r>
              <w:rPr>
                <w:rStyle w:val="Strong"/>
                <w:rFonts w:cs="Times New Roman" w:ascii="Times New Roman" w:hAnsi="Times New Roman"/>
                <w:b/>
                <w:bCs/>
                <w:lang w:val="pl-PL"/>
              </w:rPr>
              <w:t>: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1. Wprowadzenie do współczesnego piractwa morskiego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Definicje piractwa morskiego w świetle prawa międzynarodowego (UNCLOS, IMO).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Historyczne uwarunkowania piractwa morskiego i jego ewolucja do współczesnej formy.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Rozróżnienie między piractwem, terroryzmem morskim a przestępczością zorganizowaną na morzu.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2. Regiony szczególnie zagrożone współczesnym piractwem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3"/>
              </w:numPr>
              <w:suppressAutoHyphens w:val="true"/>
              <w:spacing w:beforeAutospacing="1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Geografia piractwa morskiego: analiza kluczowych regionów, takich jak: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18"/>
              </w:numPr>
              <w:tabs>
                <w:tab w:val="clear" w:pos="708"/>
                <w:tab w:val="left" w:pos="1440" w:leader="none"/>
              </w:tabs>
              <w:suppressAutoHyphens w:val="true"/>
              <w:spacing w:beforeAutospacing="1" w:after="0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Zatoka Adeńska i Rog Afryki.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19"/>
              </w:numPr>
              <w:tabs>
                <w:tab w:val="clear" w:pos="708"/>
                <w:tab w:val="left" w:pos="1440" w:leader="none"/>
              </w:tabs>
              <w:suppressAutoHyphens w:val="true"/>
              <w:spacing w:before="0" w:after="0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Zatoka Gwinejska.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20"/>
              </w:numPr>
              <w:tabs>
                <w:tab w:val="clear" w:pos="708"/>
                <w:tab w:val="left" w:pos="1440" w:leader="none"/>
              </w:tabs>
              <w:suppressAutoHyphens w:val="true"/>
              <w:spacing w:before="0" w:afterAutospacing="1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Azja Południowo-Wschodnia i Cieśnina Malakka.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3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Przyczyny piractwa w poszczególnych regionach: polityczne, społeczne i ekonomiczne.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3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Analiza danych statystycznych dotyczących ataków pirackich.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3. Metody działania współczesnych piratów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4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Organizacja i struktura grup pirackich.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4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Taktyki stosowane w atakach na statki (porwania, żądanie okupu, kradzież ładunku).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4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Technologie wykorzystywane przez piratów i sposoby unikania detekcji.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4. Wpływ piractwa na gospodarkę i bezpieczeństwo międzynarodowe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5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Koszty ekonomiczne piractwa dla transportu morskiego i handlu międzynarodowego.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5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Skutki dla lokalnych społeczności i gospodarek regionów nadbrzeżnych.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5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Piractwo a stabilność polityczna i rozwój regionów dotkniętych tym zjawiskiem.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5. Międzynarodowe regulacje prawne i organizacje przeciwdziałające piractwu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6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Konwencja Narodów Zjednoczonych o prawie morza (UNCLOS).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6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Rola Międzynarodowej Organizacji Morskiej (IMO) w walce z piractwem.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6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Międzynarodowe operacje wojskowe, takie jak: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21"/>
              </w:numPr>
              <w:tabs>
                <w:tab w:val="clear" w:pos="708"/>
                <w:tab w:val="left" w:pos="1440" w:leader="none"/>
              </w:tabs>
              <w:suppressAutoHyphens w:val="true"/>
              <w:spacing w:beforeAutospacing="1" w:after="0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Operacja Atalanta (UE).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22"/>
              </w:numPr>
              <w:tabs>
                <w:tab w:val="clear" w:pos="708"/>
                <w:tab w:val="left" w:pos="1440" w:leader="none"/>
              </w:tabs>
              <w:suppressAutoHyphens w:val="true"/>
              <w:spacing w:before="0" w:after="0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Operacja Ocean Shield (NATO).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1"/>
                <w:numId w:val="23"/>
              </w:numPr>
              <w:tabs>
                <w:tab w:val="clear" w:pos="708"/>
                <w:tab w:val="left" w:pos="1440" w:leader="none"/>
              </w:tabs>
              <w:suppressAutoHyphens w:val="true"/>
              <w:spacing w:before="0" w:afterAutospacing="1"/>
              <w:ind w:left="144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Działania koalicji państw w rejonie Rogu Afryki.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6. Technologie i strategie ochrony przed piractwem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7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Systemy monitoringu i identyfikacji (AIS, satelity, radar).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7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Wyposażenie statków i techniki samoobrony.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7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Rola prywatnych firm ochroniarskich w ochronie żeglugi.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7. Analiza przypadków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8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Studium przypadku: sukcesy i porażki w zwalczaniu piractwa w Zatoce Adeńskiej.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8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Analiza problemu piractwa w Zatoce Gwinejskiej: różnice w porównaniu z Rogiem Afryki.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8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Przykłady działań korporacji żeglugowych i ich wpływ na skuteczność operacji anty-pirackich.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8. Etyczne i społeczne aspekty walki z piractwem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Prawa człowieka a użycie siły wobec piratów.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uppressAutoHyphens w:val="true"/>
              <w:spacing w:before="0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Rola społeczności lokalnych w przeciwdziałaniu piractwu.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Wpływ globalnych działań na rozwój regionów zagrożonych piractwem.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9. Przyszłość piractwa morskiego i nowe wyzwania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0"/>
              </w:numPr>
              <w:suppressAutoHyphens w:val="true"/>
              <w:spacing w:beforeAutospacing="1" w:after="0"/>
              <w:ind w:left="720" w:right="0" w:hanging="360"/>
              <w:jc w:val="left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kern w:val="0"/>
              </w:rPr>
              <w:t>Perspektywy rozwoju zjawiska piractwa w kontekście zmian geopolitycznych i technologicznych.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0"/>
              </w:numPr>
              <w:suppressAutoHyphens w:val="true"/>
              <w:spacing w:before="0" w:afterAutospacing="1"/>
              <w:ind w:left="720" w:right="0" w:hanging="360"/>
              <w:jc w:val="left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</w:rPr>
              <w:t>Nowe zagrożenia: cyberataki na systemy morskie i ich związki z piractwem.</w:t>
            </w:r>
          </w:p>
        </w:tc>
      </w:tr>
    </w:tbl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Metody realizacji i weryfikacji efektów uczenia się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2695"/>
        <w:gridCol w:w="2834"/>
        <w:gridCol w:w="2583"/>
      </w:tblGrid>
      <w:tr>
        <w:trPr/>
        <w:tc>
          <w:tcPr>
            <w:tcW w:w="109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Symbol efektu</w:t>
            </w:r>
          </w:p>
        </w:tc>
        <w:tc>
          <w:tcPr>
            <w:tcW w:w="2695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Metody dydaktyczne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i/>
                <w:kern w:val="0"/>
                <w:sz w:val="18"/>
                <w:szCs w:val="18"/>
              </w:rPr>
              <w:t>(lista wyboru)</w:t>
            </w:r>
          </w:p>
        </w:tc>
        <w:tc>
          <w:tcPr>
            <w:tcW w:w="2834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Metody weryfikacji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i/>
                <w:kern w:val="0"/>
                <w:sz w:val="18"/>
                <w:szCs w:val="18"/>
              </w:rPr>
              <w:t>(lista wyboru)</w:t>
            </w:r>
          </w:p>
        </w:tc>
        <w:tc>
          <w:tcPr>
            <w:tcW w:w="258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Sposoby dokumentacji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i/>
                <w:kern w:val="0"/>
                <w:sz w:val="18"/>
                <w:szCs w:val="18"/>
              </w:rPr>
              <w:t>(lista wyboru)</w:t>
            </w:r>
          </w:p>
        </w:tc>
      </w:tr>
      <w:tr>
        <w:trPr/>
        <w:tc>
          <w:tcPr>
            <w:tcW w:w="921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WIEDZA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W_01</w:t>
            </w:r>
          </w:p>
        </w:tc>
        <w:tc>
          <w:tcPr>
            <w:tcW w:w="2695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Wykład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konwersatoryjny/dyskusja/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praca w grupach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W_02</w:t>
            </w:r>
          </w:p>
        </w:tc>
        <w:tc>
          <w:tcPr>
            <w:tcW w:w="2695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Wykład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konwersatoryjny/dyskusja/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praca w grupach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W_</w:t>
            </w:r>
            <w:r>
              <w:rPr>
                <w:kern w:val="0"/>
                <w:lang w:val="pl-PL"/>
              </w:rPr>
              <w:t>05</w:t>
            </w:r>
          </w:p>
        </w:tc>
        <w:tc>
          <w:tcPr>
            <w:tcW w:w="2695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Wykład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konwersatoryjny/dyskusja/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praca w grupach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  <w:tr>
        <w:trPr/>
        <w:tc>
          <w:tcPr>
            <w:tcW w:w="921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UMIEJĘTNOŚCI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U_01</w:t>
            </w:r>
          </w:p>
        </w:tc>
        <w:tc>
          <w:tcPr>
            <w:tcW w:w="2695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 xml:space="preserve">Dyskusja/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praca w grupach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U_0</w:t>
            </w:r>
            <w:r>
              <w:rPr>
                <w:kern w:val="0"/>
                <w:lang w:val="pl-PL"/>
              </w:rPr>
              <w:t>5</w:t>
            </w:r>
          </w:p>
        </w:tc>
        <w:tc>
          <w:tcPr>
            <w:tcW w:w="2695" w:type="dxa"/>
            <w:tcBorders/>
          </w:tcPr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kern w:val="0"/>
              </w:rPr>
            </w:pPr>
            <w:r>
              <w:rPr>
                <w:rFonts w:eastAsia="SimSun" w:cs="Calibri"/>
                <w:color w:val="000000"/>
                <w:kern w:val="0"/>
                <w:sz w:val="22"/>
                <w:szCs w:val="22"/>
                <w:lang w:val="en-US" w:eastAsia="zh-CN" w:bidi="ar-SA"/>
              </w:rPr>
              <w:t>Dyskusja/ praca w grupach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69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</w:r>
          </w:p>
        </w:tc>
      </w:tr>
      <w:tr>
        <w:trPr/>
        <w:tc>
          <w:tcPr>
            <w:tcW w:w="921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kern w:val="0"/>
              </w:rPr>
            </w:pPr>
            <w:r>
              <w:rPr>
                <w:kern w:val="0"/>
              </w:rPr>
              <w:t>KOMPETENCJE SPOŁECZNE</w:t>
            </w:r>
          </w:p>
        </w:tc>
      </w:tr>
      <w:tr>
        <w:trPr/>
        <w:tc>
          <w:tcPr>
            <w:tcW w:w="109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K_01</w:t>
            </w:r>
          </w:p>
        </w:tc>
        <w:tc>
          <w:tcPr>
            <w:tcW w:w="269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Praca w grupach</w:t>
            </w:r>
          </w:p>
        </w:tc>
        <w:tc>
          <w:tcPr>
            <w:tcW w:w="283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Zaliczenie lektur</w:t>
            </w:r>
          </w:p>
        </w:tc>
        <w:tc>
          <w:tcPr>
            <w:tcW w:w="25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lang w:val="pl-PL"/>
              </w:rPr>
            </w:pPr>
            <w:r>
              <w:rPr>
                <w:kern w:val="0"/>
                <w:lang w:val="pl-PL"/>
              </w:rPr>
              <w:t>Protokół</w:t>
            </w:r>
          </w:p>
        </w:tc>
      </w:tr>
    </w:tbl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Kryteria oceny, wagi…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Ocena niedostateczna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(W) -Student nie rozróżnia poszczególnych zagadnień oraz procesów w ramach przedmiotu, nie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rozpoznaje i nie charakteryzuje występujących między nimi relacji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(U) -Student nie potraf analizować i objaśniać poszczególnych zagadnień oraz procesów w ramach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przedmiotu i nie charakteryzuje występujących między nimi relacji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>(K) -Student wyraża bierną postawę w procesie samokształcenia</w:t>
      </w:r>
    </w:p>
    <w:p>
      <w:pPr>
        <w:pStyle w:val="Normal"/>
        <w:spacing w:lineRule="auto" w:line="240"/>
        <w:rPr>
          <w:rFonts w:ascii="Times New Roman" w:hAnsi="Times New Roman" w:cs="Times New Roman"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Ocena dostateczna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(W) -Student rozróżnia niektóre zagadnienia oraz procesy w ramach przedmiotu, częściowo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rozpoznaje i charakteryzuje 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(U) -Student potraf analizować i objaśniać niektóre zagadnienia oraz procesy w ramach przedmiotu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i częściowo charakteryzuje 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>(K) -Student stara się wyrażać aktywną postawę w procesie samokształcenia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eastAsia="SimSun" w:cs="Times New Roman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Ocena dobra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(W) -Student rozróżnia zagadnienia oraz procesy w ramach przedmiotu, rozpoznaje i charakteryzuje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(U) -Student potraf analizować i objaśniać zagadnienia oraz procesy w ramach przedmiotu i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charakteryzować 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>(K) -Student wyraża aktywną postawę w procesie samokształcenia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eastAsia="SimSun" w:cs="Times New Roman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Ocena bardzo dobra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(W) -Student rozróżnia wszystkie zagadnienia oraz procesy w ramach przedmiotu, bez trudu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rozpoznaje i charakteryzuje 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(U) -Student potraf analizować i objaśniać wszystkie zagadnienia oraz procesy w ramach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przedmiotu i bez trudu charakteryzować występujące między nimi relacje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 xml:space="preserve">(K) -Student wyraża aktywną postawę w procesie samokształcenia, posiada także świadomość </w:t>
      </w:r>
    </w:p>
    <w:p>
      <w:pPr>
        <w:pStyle w:val="Normal"/>
        <w:keepNext w:val="false"/>
        <w:keepLines w:val="false"/>
        <w:widowControl/>
        <w:spacing w:lineRule="auto" w:line="240"/>
        <w:jc w:val="left"/>
        <w:rPr>
          <w:rFonts w:ascii="Times New Roman" w:hAnsi="Times New Roman" w:cs="Times New Roman"/>
        </w:rPr>
      </w:pPr>
      <w:r>
        <w:rPr>
          <w:rFonts w:eastAsia="SimSun" w:cs="Times New Roman" w:ascii="Times New Roman" w:hAnsi="Times New Roman"/>
          <w:color w:val="000000"/>
          <w:kern w:val="0"/>
          <w:sz w:val="22"/>
          <w:szCs w:val="22"/>
          <w:lang w:val="en-US" w:eastAsia="zh-CN" w:bidi="ar-SA"/>
        </w:rPr>
        <w:t>procesu samokształcenia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Obciążenie pracą studenta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Forma aktywności studenta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Liczba godzin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 xml:space="preserve">Liczba godzin kontaktowych z nauczycielem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  <w:lang w:val="pl-PL"/>
              </w:rPr>
            </w:pPr>
            <w:r>
              <w:rPr>
                <w:b/>
                <w:kern w:val="0"/>
                <w:lang w:val="pl-PL"/>
              </w:rPr>
              <w:t>30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Liczba godzin indywidualnej pracy studenta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  <w:lang w:val="pl-PL"/>
              </w:rPr>
            </w:pPr>
            <w:r>
              <w:rPr>
                <w:b/>
                <w:kern w:val="0"/>
                <w:lang w:val="pl-PL"/>
              </w:rPr>
              <w:t>30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Literatura</w:t>
      </w:r>
    </w:p>
    <w:tbl>
      <w:tblPr>
        <w:tblStyle w:val="13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kern w:val="0"/>
              </w:rPr>
            </w:pPr>
            <w:r>
              <w:rPr>
                <w:kern w:val="0"/>
              </w:rPr>
              <w:t>Literatura podstawowa</w:t>
            </w:r>
          </w:p>
        </w:tc>
      </w:tr>
      <w:tr>
        <w:trPr/>
        <w:tc>
          <w:tcPr>
            <w:tcW w:w="9212" w:type="dxa"/>
            <w:tcBorders/>
          </w:tcPr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0" w:after="119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Marszałek-Kawa, J. (red.)</w:t>
            </w: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  <w:lang w:val="pl-PL"/>
              </w:rPr>
              <w:t xml:space="preserve">, </w:t>
            </w:r>
            <w:r>
              <w:rPr>
                <w:rStyle w:val="Wyrnienie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"</w:t>
            </w:r>
            <w:r>
              <w:rPr>
                <w:rStyle w:val="Wyrnienie"/>
                <w:rFonts w:cs="Times New Roman"/>
                <w:kern w:val="0"/>
                <w:sz w:val="24"/>
                <w:szCs w:val="24"/>
              </w:rPr>
              <w:t>Piractwo morskie jako wyzwanie współczesnego świata"</w:t>
            </w:r>
            <w:r>
              <w:rPr>
                <w:rFonts w:cs="Times New Roman"/>
                <w:kern w:val="0"/>
                <w:sz w:val="24"/>
                <w:szCs w:val="24"/>
              </w:rPr>
              <w:br/>
              <w:t>Wydawnictwo Adam Marszałek, Toruń, 2015.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Kubiak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 xml:space="preserve"> K.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, Przemoc na oceanach. Współczesne piractwo i terroryzm morski, Warszawa: TRIO 2009.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Kubiak, K.</w:t>
            </w: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  <w:lang w:val="pl-PL"/>
              </w:rPr>
              <w:t xml:space="preserve">, </w:t>
            </w:r>
            <w:r>
              <w:rPr>
                <w:rStyle w:val="Wyrnienie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"</w:t>
            </w:r>
            <w:r>
              <w:rPr>
                <w:rStyle w:val="Wyrnienie"/>
                <w:rFonts w:cs="Times New Roman"/>
                <w:kern w:val="0"/>
                <w:sz w:val="24"/>
                <w:szCs w:val="24"/>
              </w:rPr>
              <w:t>Piractwo morskie w XXI wieku: przypadek Rogu Afryki"</w:t>
            </w:r>
            <w:r>
              <w:rPr>
                <w:rFonts w:cs="Times New Roman"/>
                <w:kern w:val="0"/>
                <w:sz w:val="24"/>
                <w:szCs w:val="24"/>
              </w:rPr>
              <w:br/>
              <w:t>Wydawnictwo Scholar, Warszawa, 2012.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Flis, J.</w:t>
            </w:r>
            <w:r>
              <w:rPr>
                <w:rStyle w:val="Strong"/>
                <w:rFonts w:cs="Times New Roman"/>
                <w:b w:val="false"/>
                <w:bCs w:val="false"/>
                <w:kern w:val="0"/>
                <w:sz w:val="24"/>
                <w:szCs w:val="24"/>
                <w:lang w:val="pl-PL"/>
              </w:rPr>
              <w:t xml:space="preserve">, </w:t>
            </w:r>
            <w:r>
              <w:rPr>
                <w:rStyle w:val="Wyrnienie"/>
                <w:rFonts w:cs="Times New Roman"/>
                <w:b w:val="false"/>
                <w:bCs w:val="false"/>
                <w:kern w:val="0"/>
                <w:sz w:val="24"/>
                <w:szCs w:val="24"/>
              </w:rPr>
              <w:t>"</w:t>
            </w:r>
            <w:r>
              <w:rPr>
                <w:rStyle w:val="Wyrnienie"/>
                <w:rFonts w:cs="Times New Roman"/>
                <w:kern w:val="0"/>
                <w:sz w:val="24"/>
                <w:szCs w:val="24"/>
              </w:rPr>
              <w:t>Prawo morza: podstawy prawne ochrony statków przed piractwem"</w:t>
            </w:r>
            <w:r>
              <w:rPr>
                <w:rFonts w:cs="Times New Roman"/>
                <w:kern w:val="0"/>
                <w:sz w:val="24"/>
                <w:szCs w:val="24"/>
              </w:rPr>
              <w:br/>
              <w:t>Wydawnictwo UJ, Kraków, 2018.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Porada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 xml:space="preserve"> J.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lang w:val="en-US" w:eastAsia="zh-CN" w:bidi="ar-SA"/>
              </w:rPr>
              <w:t>Współczesne piractwo morskie. Środki obrony biernej i czynnej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, Szczecin: Akademia Morska w Szczecinie 2007.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Krzysztof Rokiciński,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lang w:val="en-US" w:eastAsia="zh-CN" w:bidi="ar-SA"/>
              </w:rPr>
              <w:t>Bezpieczeństwo obszarów morskich na początku XXI wieku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, Warszawa: Akademia Obrony Narodowej 2007. 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Kopacz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 xml:space="preserve"> Z.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, Morgaś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 xml:space="preserve"> W.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lang w:val="en-US" w:eastAsia="zh-CN" w:bidi="ar-SA"/>
              </w:rPr>
              <w:t>Krajowy system bezpieczeństwa morskiego w zintegrowanej polityce Unii Europejskiej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, „Zeszyty Naukowe Akademii Marynarki Wojennej, Rok LII, Nr 2 (185), 2011, s. 65-75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lang w:val="pl-PL" w:eastAsia="zh-CN" w:bidi="ar-SA"/>
              </w:rPr>
              <w:t>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Szubrycht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 xml:space="preserve"> T.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Bezpieczeństwo morskie państwa. Zarys problemu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, Gdynia: Wydawnictwo J.P. 2011.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 xml:space="preserve">Błociszewska A.,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Współczesne piractwo morskie. Fenomen Cieśniny Malakka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, Warszawa 2014.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</w:pP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 xml:space="preserve">Frąckowiak K.,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Piractwo morskie. Studium prawnokarne i kryminologiczne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, Olsztyn 2015.</w:t>
            </w:r>
          </w:p>
          <w:p>
            <w:pPr>
              <w:pStyle w:val="Normal"/>
              <w:keepNext w:val="false"/>
              <w:keepLines w:val="false"/>
              <w:widowControl w:val="false"/>
              <w:suppressAutoHyphens w:val="true"/>
              <w:spacing w:before="0" w:after="200"/>
              <w:jc w:val="left"/>
              <w:rPr>
                <w:rFonts w:ascii="Times New Roman" w:hAnsi="Times New Roman" w:eastAsia="SimSun" w:cs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</w:pPr>
            <w:bookmarkStart w:id="0" w:name="_GoBack"/>
            <w:bookmarkEnd w:id="0"/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 xml:space="preserve">Wardin K., </w:t>
            </w:r>
            <w:r>
              <w:rPr>
                <w:rFonts w:eastAsia="SimSun" w:cs="Times New Roman" w:ascii="Times New Roman" w:hAnsi="Times New Roman"/>
                <w:i/>
                <w:iCs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Model reagowania na zagrożenia piractwem morskim</w:t>
            </w:r>
            <w:r>
              <w:rPr>
                <w:rFonts w:eastAsia="SimSun" w:cs="Times New Roman" w:ascii="Times New Roman" w:hAnsi="Times New Roman"/>
                <w:color w:val="000000"/>
                <w:kern w:val="0"/>
                <w:sz w:val="24"/>
                <w:szCs w:val="24"/>
                <w:u w:val="none"/>
                <w:lang w:val="pl-PL" w:eastAsia="zh-CN" w:bidi="ar-SA"/>
              </w:rPr>
              <w:t>, Gdynia 2014.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SimSun" w:cs="Times New Roman" w:ascii="Times New Roman" w:hAnsi="Times New Roman"/>
                <w:kern w:val="0"/>
                <w:sz w:val="24"/>
                <w:szCs w:val="24"/>
              </w:rPr>
              <w:t xml:space="preserve">  </w:t>
            </w:r>
          </w:p>
        </w:tc>
      </w:tr>
      <w:tr>
        <w:trPr/>
        <w:tc>
          <w:tcPr>
            <w:tcW w:w="921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</w:rPr>
              <w:t>Literatura uzupełniająca</w:t>
            </w:r>
          </w:p>
        </w:tc>
      </w:tr>
      <w:tr>
        <w:trPr/>
        <w:tc>
          <w:tcPr>
            <w:tcW w:w="9212" w:type="dxa"/>
            <w:tcBorders/>
          </w:tcPr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0" w:after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  <w:sz w:val="24"/>
                <w:szCs w:val="24"/>
                <w:lang w:val="pl-PL"/>
              </w:rPr>
              <w:t>Źródła</w:t>
            </w:r>
            <w:r>
              <w:rPr>
                <w:rStyle w:val="Strong"/>
                <w:rFonts w:cs="Times New Roman" w:ascii="Times New Roman" w:hAnsi="Times New Roman"/>
                <w:b/>
                <w:bCs/>
                <w:sz w:val="24"/>
                <w:szCs w:val="24"/>
              </w:rPr>
              <w:t xml:space="preserve"> internetowe i raporty praktyczne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/>
                <w:kern w:val="0"/>
                <w:sz w:val="24"/>
                <w:szCs w:val="24"/>
              </w:rPr>
              <w:t>Strona Międzynarodowego Biura Morskiego (IMB)</w:t>
            </w:r>
            <w:r>
              <w:rPr>
                <w:rFonts w:cs="Times New Roman"/>
                <w:kern w:val="0"/>
                <w:sz w:val="24"/>
                <w:szCs w:val="24"/>
              </w:rPr>
              <w:t>: https://icc-ccs.org/piracy-reporting-centre.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cs="Times New Roman"/>
                <w:kern w:val="0"/>
                <w:sz w:val="24"/>
                <w:szCs w:val="24"/>
              </w:rPr>
              <w:t>UNESCO i IMO</w:t>
            </w:r>
            <w:r>
              <w:rPr>
                <w:rFonts w:cs="Times New Roman"/>
                <w:kern w:val="0"/>
                <w:sz w:val="24"/>
                <w:szCs w:val="24"/>
              </w:rPr>
              <w:t>: Dokumenty dotyczące ochrony dziedzictwa morskiego i bezpieczeństwa żeglugi.</w:t>
            </w:r>
          </w:p>
          <w:p>
            <w:pPr>
              <w:pStyle w:val="Nagwek4"/>
              <w:keepNext w:val="false"/>
              <w:keepLines w:val="false"/>
              <w:widowControl w:val="false"/>
              <w:suppressAutoHyphens w:val="true"/>
              <w:spacing w:lineRule="auto" w:line="240" w:before="280" w:after="280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 w:ascii="Times New Roman" w:hAnsi="Times New Roman"/>
                <w:b/>
                <w:bCs/>
              </w:rPr>
              <w:t>Artykuły naukowe i raporty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/>
                <w:kern w:val="0"/>
              </w:rPr>
              <w:t>United Nations Office on Drugs and Crime (UNODC)</w:t>
            </w:r>
            <w:r>
              <w:rPr>
                <w:rFonts w:cs="Times New Roman"/>
                <w:kern w:val="0"/>
              </w:rPr>
              <w:br/>
            </w:r>
            <w:r>
              <w:rPr>
                <w:rStyle w:val="Wyrnienie"/>
                <w:rFonts w:cs="Times New Roman"/>
                <w:kern w:val="0"/>
              </w:rPr>
              <w:t>"Piracy and Armed Robbery against Ships: A Global Perspective"</w:t>
            </w:r>
            <w:r>
              <w:rPr>
                <w:rFonts w:cs="Times New Roman"/>
                <w:kern w:val="0"/>
              </w:rPr>
              <w:br/>
              <w:t xml:space="preserve">Dostępny online: </w:t>
            </w:r>
            <w:hyperlink r:id="rId2" w:tgtFrame="_new">
              <w:r>
                <w:rPr>
                  <w:rStyle w:val="Czeinternetowe"/>
                  <w:rFonts w:cs="Times New Roman"/>
                  <w:kern w:val="0"/>
                </w:rPr>
                <w:t>https://unodc.org</w:t>
              </w:r>
            </w:hyperlink>
            <w:r>
              <w:rPr>
                <w:rFonts w:cs="Times New Roman"/>
                <w:kern w:val="0"/>
              </w:rPr>
              <w:t>.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/>
                <w:kern w:val="0"/>
              </w:rPr>
              <w:t>International Maritime Bureau (IMB)</w:t>
            </w:r>
            <w:r>
              <w:rPr>
                <w:rFonts w:cs="Times New Roman"/>
                <w:kern w:val="0"/>
              </w:rPr>
              <w:br/>
            </w:r>
            <w:r>
              <w:rPr>
                <w:rStyle w:val="Wyrnienie"/>
                <w:rFonts w:cs="Times New Roman"/>
                <w:kern w:val="0"/>
              </w:rPr>
              <w:t>"Piracy and Armed Robbery Report"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/>
                <w:kern w:val="0"/>
              </w:rPr>
              <w:t>Council on Foreign Relations</w:t>
            </w:r>
            <w:r>
              <w:rPr>
                <w:rFonts w:cs="Times New Roman"/>
                <w:kern w:val="0"/>
              </w:rPr>
              <w:br/>
            </w:r>
            <w:r>
              <w:rPr>
                <w:rStyle w:val="Wyrnienie"/>
                <w:rFonts w:cs="Times New Roman"/>
                <w:kern w:val="0"/>
              </w:rPr>
              <w:t>"The Global Threat of Maritime Piracy"</w:t>
            </w:r>
            <w:r>
              <w:rPr>
                <w:rFonts w:cs="Times New Roman"/>
                <w:kern w:val="0"/>
              </w:rPr>
              <w:br/>
              <w:t xml:space="preserve">Dostępny online: </w:t>
            </w:r>
            <w:hyperlink r:id="rId3" w:tgtFrame="_new">
              <w:r>
                <w:rPr>
                  <w:rStyle w:val="Czeinternetowe"/>
                  <w:rFonts w:cs="Times New Roman"/>
                  <w:kern w:val="0"/>
                </w:rPr>
                <w:t>https://cfr.org</w:t>
              </w:r>
            </w:hyperlink>
            <w:r>
              <w:rPr>
                <w:rFonts w:cs="Times New Roman"/>
                <w:kern w:val="0"/>
              </w:rPr>
              <w:t>.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</w:rPr>
            </w:pPr>
            <w:r>
              <w:rPr>
                <w:rStyle w:val="Strong"/>
                <w:rFonts w:cs="Times New Roman"/>
                <w:kern w:val="0"/>
              </w:rPr>
              <w:t>World Bank Report</w:t>
            </w:r>
            <w:r>
              <w:rPr>
                <w:rFonts w:cs="Times New Roman"/>
                <w:kern w:val="0"/>
              </w:rPr>
              <w:br/>
            </w:r>
            <w:r>
              <w:rPr>
                <w:rStyle w:val="Wyrnienie"/>
                <w:rFonts w:cs="Times New Roman"/>
                <w:kern w:val="0"/>
              </w:rPr>
              <w:t>"The Pirates of Somalia: Ending the Threat, Rebuilding a Nation"</w:t>
            </w:r>
          </w:p>
          <w:p>
            <w:pPr>
              <w:pStyle w:val="NormalWeb"/>
              <w:keepNext w:val="false"/>
              <w:keepLines w:val="false"/>
              <w:widowControl w:val="false"/>
              <w:suppressAutoHyphens w:val="true"/>
              <w:spacing w:before="280" w:after="119"/>
              <w:ind w:left="720" w:right="0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Strong"/>
                <w:rFonts w:eastAsia="SimSun" w:cs="Times New Roman"/>
                <w:kern w:val="0"/>
                <w:sz w:val="24"/>
                <w:szCs w:val="24"/>
              </w:rPr>
              <w:t>Międzynarodowa Organizacja Morska (IMO)</w:t>
            </w:r>
            <w:r>
              <w:rPr>
                <w:rFonts w:eastAsia="SimSun" w:cs="Times New Roman"/>
                <w:kern w:val="0"/>
                <w:sz w:val="24"/>
                <w:szCs w:val="24"/>
              </w:rPr>
              <w:br/>
              <w:t xml:space="preserve">Oficjalne dokumenty IMO dostępne na stronie: </w:t>
            </w:r>
            <w:hyperlink r:id="rId4" w:tgtFrame="_new">
              <w:r>
                <w:rPr>
                  <w:rStyle w:val="Czeinternetowe"/>
                  <w:rFonts w:eastAsia="SimSun" w:cs="Times New Roman"/>
                  <w:kern w:val="0"/>
                  <w:sz w:val="24"/>
                  <w:szCs w:val="24"/>
                </w:rPr>
                <w:t>https://www.imo.org</w:t>
              </w:r>
            </w:hyperlink>
            <w:r>
              <w:rPr>
                <w:rFonts w:eastAsia="SimSun" w:cs="Times New Roman"/>
                <w:kern w:val="0"/>
                <w:sz w:val="24"/>
                <w:szCs w:val="24"/>
              </w:rPr>
              <w:t>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even" r:id="rId5"/>
      <w:headerReference w:type="default" r:id="rId6"/>
      <w:headerReference w:type="first" r:id="rId7"/>
      <w:footerReference w:type="even" r:id="rId8"/>
      <w:footerReference w:type="default" r:id="rId9"/>
      <w:footerReference w:type="first" r:id="rId10"/>
      <w:type w:val="nextPage"/>
      <w:pgSz w:w="11906" w:h="16838"/>
      <w:pgMar w:left="1417" w:right="1417" w:gutter="0" w:header="708" w:top="1417" w:footer="708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ee"/>
    <w:family w:val="roman"/>
    <w:pitch w:val="variable"/>
  </w:font>
  <w:font w:name="SimSu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3"/>
    <w:lvlOverride w:ilvl="0">
      <w:startOverride w:val="1"/>
    </w:lvlOverride>
    <w:lvlOverride w:ilvl="1">
      <w:startOverride w:val="1"/>
    </w:lvlOverride>
  </w:num>
  <w:num w:numId="19">
    <w:abstractNumId w:val="3"/>
  </w:num>
  <w:num w:numId="20">
    <w:abstractNumId w:val="3"/>
  </w:num>
  <w:num w:numId="21">
    <w:abstractNumId w:val="6"/>
    <w:lvlOverride w:ilvl="0">
      <w:startOverride w:val="1"/>
    </w:lvlOverride>
    <w:lvlOverride w:ilvl="1">
      <w:startOverride w:val="1"/>
    </w:lvlOverride>
  </w:num>
  <w:num w:numId="22">
    <w:abstractNumId w:val="6"/>
  </w:num>
  <w:num w:numId="23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l-PL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 w:semiHidden="0" w:qFormat="1"/>
    <w:lsdException w:name="footer" w:uiPriority="99" w:semiHidden="0" w:qFormat="1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 w:semiHidden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 w:qFormat="1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 w:qFormat="1"/>
    <w:lsdException w:name="Table Grid" w:uiPriority="59" w:semiHidden="0" w:unhideWhenUsed="0" w:qFormat="1"/>
    <w:lsdException w:name="Table Theme" w:uiPriority="99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List Paragraph" w:uiPriority="34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Nagwek3">
    <w:name w:val="Heading 3"/>
    <w:next w:val="Normal"/>
    <w:uiPriority w:val="9"/>
    <w:semiHidden/>
    <w:unhideWhenUsed/>
    <w:qFormat/>
    <w:pPr>
      <w:widowControl/>
      <w:suppressAutoHyphens w:val="true"/>
      <w:bidi w:val="0"/>
      <w:spacing w:beforeAutospacing="1" w:afterAutospacing="1"/>
      <w:jc w:val="left"/>
    </w:pPr>
    <w:rPr>
      <w:rFonts w:ascii="SimSun" w:hAnsi="SimSun" w:eastAsia="SimSun" w:cs="SimSun"/>
      <w:b/>
      <w:bCs/>
      <w:color w:val="auto"/>
      <w:kern w:val="0"/>
      <w:sz w:val="26"/>
      <w:szCs w:val="26"/>
      <w:lang w:val="en-US" w:eastAsia="zh-CN" w:bidi="ar-SA"/>
    </w:rPr>
  </w:style>
  <w:style w:type="paragraph" w:styleId="Nagwek4">
    <w:name w:val="Heading 4"/>
    <w:next w:val="Normal"/>
    <w:uiPriority w:val="9"/>
    <w:semiHidden/>
    <w:unhideWhenUsed/>
    <w:qFormat/>
    <w:pPr>
      <w:widowControl/>
      <w:suppressAutoHyphens w:val="true"/>
      <w:bidi w:val="0"/>
      <w:spacing w:beforeAutospacing="1" w:afterAutospacing="1"/>
      <w:jc w:val="left"/>
    </w:pPr>
    <w:rPr>
      <w:rFonts w:ascii="SimSun" w:hAnsi="SimSun" w:eastAsia="SimSun" w:cs="SimSun"/>
      <w:b/>
      <w:bCs/>
      <w:color w:val="auto"/>
      <w:kern w:val="0"/>
      <w:sz w:val="24"/>
      <w:szCs w:val="24"/>
      <w:lang w:val="en-US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yrnienie">
    <w:name w:val="Emphasis"/>
    <w:basedOn w:val="DefaultParagraphFont"/>
    <w:uiPriority w:val="20"/>
    <w:qFormat/>
    <w:rPr>
      <w:i/>
      <w:iCs/>
    </w:rPr>
  </w:style>
  <w:style w:type="character" w:styleId="Czeinternetowe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Tabulatory" w:customStyle="1">
    <w:name w:val="tabulatory"/>
    <w:basedOn w:val="DefaultParagraphFont"/>
    <w:uiPriority w:val="0"/>
    <w:qFormat/>
    <w:rPr/>
  </w:style>
  <w:style w:type="character" w:styleId="Access" w:customStyle="1">
    <w:name w:val="access"/>
    <w:basedOn w:val="DefaultParagraphFont"/>
    <w:uiPriority w:val="0"/>
    <w:qFormat/>
    <w:rPr/>
  </w:style>
  <w:style w:type="character" w:styleId="Luchili" w:customStyle="1">
    <w:name w:val="luc_hili"/>
    <w:basedOn w:val="DefaultParagraphFont"/>
    <w:uiPriority w:val="0"/>
    <w:qFormat/>
    <w:rPr/>
  </w:style>
  <w:style w:type="character" w:styleId="NagwekZnak" w:customStyle="1">
    <w:name w:val="Nagłówek Znak"/>
    <w:basedOn w:val="DefaultParagraphFont"/>
    <w:uiPriority w:val="99"/>
    <w:qFormat/>
    <w:rPr/>
  </w:style>
  <w:style w:type="character" w:styleId="StopkaZnak" w:customStyle="1">
    <w:name w:val="Stopka Znak"/>
    <w:basedOn w:val="DefaultParagraphFont"/>
    <w:uiPriority w:val="99"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Gwkaistopka">
    <w:name w:val="Główka i stopka"/>
    <w:basedOn w:val="Normal"/>
    <w:qFormat/>
    <w:pPr/>
    <w:rPr/>
  </w:style>
  <w:style w:type="paragraph" w:styleId="Stopka">
    <w:name w:val="Footer"/>
    <w:basedOn w:val="Normal"/>
    <w:link w:val="StopkaZnak"/>
    <w:uiPriority w:val="99"/>
    <w:unhideWhenUsed/>
    <w:qFormat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Gwka">
    <w:name w:val="Header"/>
    <w:basedOn w:val="Normal"/>
    <w:link w:val="NagwekZnak"/>
    <w:uiPriority w:val="99"/>
    <w:unhideWhenUsed/>
    <w:qFormat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semiHidden/>
    <w:unhideWhenUsed/>
    <w:qFormat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Western" w:customStyle="1">
    <w:name w:val="western"/>
    <w:basedOn w:val="Normal"/>
    <w:uiPriority w:val="0"/>
    <w:qFormat/>
    <w:pPr>
      <w:spacing w:lineRule="atLeast" w:line="102" w:beforeAutospacing="1" w:after="119"/>
    </w:pPr>
    <w:rPr>
      <w:rFonts w:ascii="Times New Roman" w:hAnsi="Times New Roman" w:eastAsia="Times New Roman" w:cs="Times New Roman"/>
      <w:color w:val="000000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Default" w:customStyle="1">
    <w:name w:val="Default"/>
    <w:uiPriority w:val="0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000000"/>
      <w:kern w:val="0"/>
      <w:sz w:val="24"/>
      <w:szCs w:val="24"/>
      <w:lang w:val="pl-PL" w:eastAsia="en-US" w:bidi="ar-SA"/>
    </w:rPr>
  </w:style>
  <w:style w:type="table" w:default="1" w:styleId="5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13">
    <w:name w:val="Table Grid"/>
    <w:basedOn w:val="5"/>
    <w:uiPriority w:val="59"/>
    <w:qFormat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unodc.org/" TargetMode="External"/><Relationship Id="rId3" Type="http://schemas.openxmlformats.org/officeDocument/2006/relationships/hyperlink" Target="https://cfr.org/" TargetMode="External"/><Relationship Id="rId4" Type="http://schemas.openxmlformats.org/officeDocument/2006/relationships/hyperlink" Target="https://www.imo.org/" TargetMode="Externa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eader" Target="header3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oter" Target="footer3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LibreOffice/7.5.6.2$Windows_X86_64 LibreOffice_project/f654817fb68d6d4600d7d2f6b647e47729f55f15</Application>
  <AppVersion>15.0000</AppVersion>
  <Pages>5</Pages>
  <Words>1339</Words>
  <Characters>9370</Characters>
  <CharactersWithSpaces>10486</CharactersWithSpaces>
  <Paragraphs>232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2021-12-03T12:23:00Z</dcterms:created>
  <dc:creator>Anna Łukasiewicz</dc:creator>
  <dc:description/>
  <dc:language>pl-PL</dc:language>
  <cp:lastModifiedBy>Admin</cp:lastModifiedBy>
  <cp:lastPrinted>2019-01-23T11:10:00Z</cp:lastPrinted>
  <dcterms:modified xsi:type="dcterms:W3CDTF">2024-12-05T15:19:35Z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E93D803DC67A456BB9B4431E9ABB161D_12</vt:lpwstr>
  </property>
  <property fmtid="{D5CDD505-2E9C-101B-9397-08002B2CF9AE}" pid="3" name="KSOProductBuildVer">
    <vt:lpwstr>1045-12.2.0.18911</vt:lpwstr>
  </property>
</Properties>
</file>