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Współczesne systemy polityczne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The Contemporary Political Systems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I stopnia 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Konrad Słowiński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  <w:kern w:val="0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W1 – Ogólna wiedza z zakresu współczesnych systemów politycznych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W2  - Zainteresowanie przedmiotem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– Głównym celem zajęć jest zapoznanie absolwentów z istotą współczesnych systemów politycznych, zarówno w pespektywie teoretycznej, jak i empirycznej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C2 – Istotnym celem jest zapoznanie absolwentów z ewolucją współczesnych systemów historycznych oraz ich typologią 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C3 – Absolwent powinien stosować ujęcia teoretycznego do opisu współczesnych systemów politycznych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C4 – Absolwent potrafi rozpoznać i opisać różne typy systemów politycznych współczesnych państw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zna i rozumie specyfikę nauk o polityce i administracji oraz ich relacje z innymi dyscyplinami w odniesieniu do funkcjonowania współczesnych systemów politycznych 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złożoność wiedzy z dziedziny nauk społecznych, zwłaszcza dotyczących badań współczesnych systemów politycznych z wykorzystaniem odpowiednich metod, technik i narzędzi badawczych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zna i rozumie teorię i praktykę w zakresie funkcjonowania współczesnych systemów politycznych oraz instytucji społecznych i politycznych je tworzących 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 złożony charakter systemu politycznego Europejskiej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 potrafi wykorzystywać zdobytą wiedzę teoretyczną do  budowania strategii działań dotyczących stosunków międzynarodowych jako elementu otoczenia zewnętrznego współczesnych systemów politycznych 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Absolwent, wykorzystując posiadaną wiedzę teoretyczną, potrafi rozwiązywać problemy, prognozować działania oraz przewidywać ich skutki w zakresie funkcjonowania współczesnych systemów politycznych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Podstawowe pojęcia (polityka, państwo, władza polityczna, ustrój, system polityczny, reżim polityczny)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Teoretyczne ujęcie systemów politycznych (ujęcie instytucjonalne, cybernetyczne, behawioralne i funkcjonalne)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System polityczny, jego funkcje oraz podsystemy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Typologia współczesnych systemów politycznych (kryteria podziału, klasyczna typologia Arystotelesa, typy systemów politycznych i ich omówienie na przykładzie współczesnych państw)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Zasady konstytucyjne współczesnych państw, funkcjonowanie ich instytucji politycznych (demokratyczne państwo prawa, trójpodział władzy, suwerenność, powszechność, zasada reprezentacji, systemy wyborcze, partyjne)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System polityczny Unii Europejskiej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service learning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service learning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service learning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service learning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 konwersatoryjny, service learning 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Wykład konwersatoryjny, service learning 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konwersatoryjny, service learning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 xml:space="preserve">Egzamin pisemny - warunkiem sine qua non dopuszczenia do egzaminu jest udział w 80 proc. wykładów, dla studentów z IOS – w połowie wykładów 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 xml:space="preserve">1. Ocena dostateczna (obecność na  80 proc. (50 proc.) wykładów, poprawna odpowiedź </w:t>
      </w:r>
      <w:bookmarkStart w:id="0" w:name="_GoBack"/>
      <w:bookmarkEnd w:id="0"/>
      <w:r>
        <w:rPr>
          <w:rFonts w:cs="Calibri" w:cstheme="minorHAnsi"/>
        </w:rPr>
        <w:t xml:space="preserve">na przynajmniej 60 proc. pytań testowych) 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 xml:space="preserve">2. Ocena dostateczna plus  (obecność na  80 proc. (50 proc.) wykładów, poprawna odpowiedź na przynajmniej 70 proc. pytań testowych) 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 xml:space="preserve">3. Ocena dobra (obecność na  80 proc. (50 proc.) wykładów, poprawna odpowiedź na przynajmniej 80 proc. pytań testowych) 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 xml:space="preserve">4. Ocena dobra plus (obecność na  80 proc. (50 proc.) wykładów, poprawna odpowiedź na przynajmniej 90 proc. pytań testowych) 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 xml:space="preserve">5. Ocena bardzo dobra (obecność na  80 proc. (50 proc.) wykładów, poprawna odpowiedź na 100 proc. pytań testowych) </w:t>
      </w:r>
    </w:p>
    <w:p>
      <w:pPr>
        <w:pStyle w:val="ListParagraph"/>
        <w:ind w:left="1080" w:hanging="0"/>
        <w:rPr>
          <w:rFonts w:cs="Calibri" w:cstheme="minorHAnsi"/>
        </w:rPr>
      </w:pPr>
      <w:r>
        <w:rPr>
          <w:rFonts w:cs="Calibri" w:cstheme="minorHAnsi"/>
        </w:rPr>
        <w:t>6. Osoby, które będą miały 100 proc. obecności, lecz nie uzyskają dostatecznej liczby punktów, otrzymają ocenę wyższą</w:t>
      </w:r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</w:rPr>
        <w:t>7. Osoby, które nie spełnią wymogu frekwencji, lecz odpowiedzą poprawnie na 90 proc. pytań egzaminacyjnych, będą mogły otrzymać ocenę dostateczną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i/>
                <w:kern w:val="0"/>
                <w:sz w:val="18"/>
                <w:szCs w:val="18"/>
              </w:rPr>
            </w:r>
          </w:p>
        </w:tc>
        <w:tc>
          <w:tcPr>
            <w:tcW w:w="45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i/>
                <w:kern w:val="0"/>
                <w:sz w:val="18"/>
                <w:szCs w:val="18"/>
              </w:rPr>
            </w:r>
          </w:p>
        </w:tc>
        <w:tc>
          <w:tcPr>
            <w:tcW w:w="45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Współczesne systemy polityczne, red. M. Żmigrodzki, B. Dziemidok-Olszewska, Warszawa 2013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Systemy polityczne. Podręcznik akademicki, t. 1-2, red. M. Bankowicz, B. Kosowska-Gąstoł, Kraków 2019-2020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Społeczeństwo i polityka. Podstawy nauk politycznych, red. K.A. Wojtaszczyk, w. Jakubowski, Warszawa 2007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Wprowadzenie do nauki o państwie i polityce, red. B. Szmulik, M. Żmigrodzki, Lublin 2010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4DE5-E44E-4820-810A-FECC7573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LibreOffice/7.5.6.2$Windows_X86_64 LibreOffice_project/f654817fb68d6d4600d7d2f6b647e47729f55f15</Application>
  <AppVersion>15.0000</AppVersion>
  <DocSecurity>0</DocSecurity>
  <Pages>4</Pages>
  <Words>714</Words>
  <Characters>4983</Characters>
  <CharactersWithSpaces>5583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2023-01-29T14:22:00Z</dcterms:created>
  <dc:creator>Anna Łukasiewicz</dc:creator>
  <dc:description/>
  <dc:language>pl-PL</dc:language>
  <cp:lastModifiedBy/>
  <cp:lastPrinted>2020-02-25T18:07:00Z</cp:lastPrinted>
  <dcterms:modified xsi:type="dcterms:W3CDTF">2025-02-11T10:23:21Z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