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sz w:val="24"/>
          <w:szCs w:val="24"/>
          <w:lang w:val="en-GB"/>
        </w:rPr>
      </w:pPr>
      <w:r>
        <w:rPr>
          <w:rFonts w:cs="Times New Roman" w:ascii="Times New Roman" w:hAnsi="Times New Roman"/>
          <w:b/>
          <w:sz w:val="24"/>
          <w:szCs w:val="24"/>
          <w:lang w:val="en-GB"/>
        </w:rPr>
        <w:t xml:space="preserve">Course Syllabus </w:t>
      </w:r>
    </w:p>
    <w:p>
      <w:pPr>
        <w:pStyle w:val="Normal"/>
        <w:rPr>
          <w:rFonts w:ascii="Times New Roman" w:hAnsi="Times New Roman" w:cs="Times New Roman"/>
          <w:b/>
          <w:sz w:val="24"/>
          <w:szCs w:val="24"/>
          <w:lang w:val="en-GB"/>
        </w:rPr>
      </w:pPr>
      <w:r>
        <w:rPr>
          <w:rFonts w:cs="Times New Roman" w:ascii="Times New Roman" w:hAnsi="Times New Roman"/>
          <w:b/>
          <w:sz w:val="24"/>
          <w:szCs w:val="24"/>
          <w:lang w:val="en-GB"/>
        </w:rPr>
      </w:r>
    </w:p>
    <w:p>
      <w:pPr>
        <w:pStyle w:val="ListParagraph"/>
        <w:numPr>
          <w:ilvl w:val="0"/>
          <w:numId w:val="1"/>
        </w:numPr>
        <w:rPr>
          <w:rFonts w:ascii="Times New Roman" w:hAnsi="Times New Roman" w:cs="Times New Roman"/>
          <w:b/>
          <w:sz w:val="24"/>
          <w:szCs w:val="24"/>
          <w:lang w:val="en-GB"/>
        </w:rPr>
      </w:pPr>
      <w:r>
        <w:rPr>
          <w:rFonts w:cs="Times New Roman" w:ascii="Times New Roman" w:hAnsi="Times New Roman"/>
          <w:b/>
          <w:sz w:val="24"/>
          <w:szCs w:val="24"/>
          <w:lang w:val="en-GB"/>
        </w:rPr>
        <w:t>General Information</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27"/>
        <w:gridCol w:w="4534"/>
      </w:tblGrid>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Course name</w:t>
            </w:r>
          </w:p>
        </w:tc>
        <w:tc>
          <w:tcPr>
            <w:tcW w:w="4534" w:type="dxa"/>
            <w:tcBorders/>
          </w:tcPr>
          <w:p>
            <w:pPr>
              <w:pStyle w:val="Normal"/>
              <w:widowControl/>
              <w:spacing w:lineRule="auto" w:line="240" w:before="0" w:after="0"/>
              <w:jc w:val="left"/>
              <w:rPr>
                <w:rFonts w:ascii="Times New Roman" w:hAnsi="Times New Roman" w:cs="Times New Roman"/>
                <w:b/>
                <w:sz w:val="24"/>
                <w:szCs w:val="24"/>
                <w:lang w:val="en-GB"/>
              </w:rPr>
            </w:pPr>
            <w:r>
              <w:rPr>
                <w:rFonts w:eastAsia="Calibri" w:cs="Times New Roman" w:ascii="Times New Roman" w:hAnsi="Times New Roman"/>
                <w:b/>
                <w:kern w:val="0"/>
                <w:sz w:val="24"/>
                <w:szCs w:val="24"/>
                <w:lang w:val="en-GB" w:eastAsia="en-US" w:bidi="ar-SA"/>
              </w:rPr>
              <w:t>Smart borders</w:t>
            </w:r>
          </w:p>
        </w:tc>
      </w:tr>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Programme </w:t>
            </w:r>
          </w:p>
        </w:tc>
        <w:tc>
          <w:tcPr>
            <w:tcW w:w="453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International relations</w:t>
            </w:r>
          </w:p>
        </w:tc>
      </w:tr>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Level of studies (BA, BSc, MA, MSc, long-cycle MA)</w:t>
            </w:r>
          </w:p>
        </w:tc>
        <w:tc>
          <w:tcPr>
            <w:tcW w:w="453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MA</w:t>
            </w:r>
          </w:p>
        </w:tc>
      </w:tr>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Form of studies (full-time, part-time)</w:t>
            </w:r>
          </w:p>
        </w:tc>
        <w:tc>
          <w:tcPr>
            <w:tcW w:w="453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Full-time</w:t>
            </w:r>
          </w:p>
        </w:tc>
      </w:tr>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Discipline</w:t>
            </w:r>
          </w:p>
        </w:tc>
        <w:tc>
          <w:tcPr>
            <w:tcW w:w="453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Political sciences and administration, Law </w:t>
            </w:r>
          </w:p>
        </w:tc>
      </w:tr>
      <w:tr>
        <w:trPr/>
        <w:tc>
          <w:tcPr>
            <w:tcW w:w="4527"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Language of instruction</w:t>
            </w:r>
          </w:p>
        </w:tc>
        <w:tc>
          <w:tcPr>
            <w:tcW w:w="453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English</w:t>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41"/>
        <w:gridCol w:w="4520"/>
      </w:tblGrid>
      <w:tr>
        <w:trPr/>
        <w:tc>
          <w:tcPr>
            <w:tcW w:w="454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Course coordinator/person responsible</w:t>
            </w:r>
          </w:p>
        </w:tc>
        <w:tc>
          <w:tcPr>
            <w:tcW w:w="452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 </w:t>
            </w:r>
            <w:r>
              <w:rPr>
                <w:rFonts w:eastAsia="Calibri" w:cs="Times New Roman" w:ascii="Times New Roman" w:hAnsi="Times New Roman"/>
                <w:kern w:val="0"/>
                <w:sz w:val="24"/>
                <w:szCs w:val="24"/>
                <w:lang w:val="en-GB" w:eastAsia="en-US" w:bidi="ar-SA"/>
              </w:rPr>
              <w:t>Anna Szachoń-Pszenny, PhD</w:t>
            </w:r>
          </w:p>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73"/>
        <w:gridCol w:w="2263"/>
        <w:gridCol w:w="2264"/>
        <w:gridCol w:w="2261"/>
      </w:tblGrid>
      <w:tr>
        <w:trPr/>
        <w:tc>
          <w:tcPr>
            <w:tcW w:w="2273" w:type="dxa"/>
            <w:tcBorders/>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Type of class </w:t>
            </w:r>
            <w:r>
              <w:rPr>
                <w:rFonts w:eastAsia="Calibri" w:cs="Times New Roman" w:ascii="Times New Roman" w:hAnsi="Times New Roman"/>
                <w:i/>
                <w:kern w:val="0"/>
                <w:sz w:val="24"/>
                <w:szCs w:val="24"/>
                <w:lang w:val="en-GB" w:eastAsia="en-US" w:bidi="ar-SA"/>
              </w:rPr>
              <w:t>(use only the types mentioned below)</w:t>
            </w:r>
          </w:p>
        </w:tc>
        <w:tc>
          <w:tcPr>
            <w:tcW w:w="2263" w:type="dxa"/>
            <w:tcBorders/>
          </w:tcPr>
          <w:p>
            <w:pPr>
              <w:pStyle w:val="Normal"/>
              <w:widowControl/>
              <w:spacing w:lineRule="auto" w:line="240" w:before="0" w:after="0"/>
              <w:jc w:val="center"/>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Number of teaching hours</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Semester</w:t>
            </w:r>
          </w:p>
        </w:tc>
        <w:tc>
          <w:tcPr>
            <w:tcW w:w="2261" w:type="dxa"/>
            <w:tcBorders/>
          </w:tcPr>
          <w:p>
            <w:pPr>
              <w:pStyle w:val="Normal"/>
              <w:widowControl/>
              <w:spacing w:lineRule="auto" w:line="240" w:before="0" w:after="0"/>
              <w:jc w:val="center"/>
              <w:rPr>
                <w:rFonts w:ascii="Times New Roman" w:hAnsi="Times New Roman" w:cs="Times New Roman"/>
                <w:bCs/>
                <w:color w:val="000000"/>
                <w:sz w:val="24"/>
                <w:szCs w:val="24"/>
                <w:lang w:val="en-GB"/>
              </w:rPr>
            </w:pPr>
            <w:r>
              <w:rPr>
                <w:rFonts w:eastAsia="Calibri" w:cs="Times New Roman" w:ascii="Times New Roman" w:hAnsi="Times New Roman"/>
                <w:bCs/>
                <w:color w:val="000000"/>
                <w:kern w:val="0"/>
                <w:sz w:val="24"/>
                <w:szCs w:val="24"/>
                <w:lang w:val="en-GB" w:eastAsia="en-US" w:bidi="ar-SA"/>
              </w:rPr>
              <w:t>ECTS Points</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lecture</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restart"/>
            <w:tcBorders/>
          </w:tcPr>
          <w:p>
            <w:pPr>
              <w:pStyle w:val="Normal"/>
              <w:widowControl/>
              <w:spacing w:lineRule="auto" w:line="240" w:before="0" w:after="0"/>
              <w:ind w:left="0" w:right="0" w:firstLine="708"/>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3</w:t>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tutorial</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30</w:t>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3</w:t>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classes</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laboratory classes</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workshops</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seminar</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introductory seminar</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foreign language classes</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practical placement</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field work</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diploma laboratory</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translation classes</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227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study visit</w:t>
            </w:r>
          </w:p>
        </w:tc>
        <w:tc>
          <w:tcPr>
            <w:tcW w:w="2263"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261" w:type="dxa"/>
            <w:vMerge w:val="continue"/>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11"/>
        <w:gridCol w:w="6850"/>
      </w:tblGrid>
      <w:tr>
        <w:trPr/>
        <w:tc>
          <w:tcPr>
            <w:tcW w:w="221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Course pre-requisites</w:t>
            </w:r>
          </w:p>
        </w:tc>
        <w:tc>
          <w:tcPr>
            <w:tcW w:w="68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Students have knowledge of the legal basis and principles of the Schengen area</w:t>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numPr>
          <w:ilvl w:val="0"/>
          <w:numId w:val="1"/>
        </w:numPr>
        <w:rPr>
          <w:rFonts w:ascii="Times New Roman" w:hAnsi="Times New Roman" w:cs="Times New Roman"/>
          <w:b/>
          <w:sz w:val="24"/>
          <w:szCs w:val="24"/>
          <w:lang w:val="en-GB"/>
        </w:rPr>
      </w:pPr>
      <w:r>
        <w:rPr>
          <w:rFonts w:cs="Times New Roman" w:ascii="Times New Roman" w:hAnsi="Times New Roman"/>
          <w:b/>
          <w:sz w:val="24"/>
          <w:szCs w:val="24"/>
          <w:lang w:val="en-GB"/>
        </w:rPr>
        <w:t>Course Objectives</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1 defining and describing smart borders</w:t>
            </w:r>
          </w:p>
        </w:tc>
      </w:tr>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2 explaining and assessing smart borders instruments</w:t>
            </w:r>
          </w:p>
        </w:tc>
      </w:tr>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3 </w:t>
            </w:r>
            <w:r>
              <w:rPr>
                <w:rFonts w:eastAsia="Calibri" w:cs="Times New Roman" w:ascii="Times New Roman" w:hAnsi="Times New Roman"/>
                <w:kern w:val="0"/>
                <w:sz w:val="24"/>
                <w:szCs w:val="24"/>
                <w:lang w:val="en-US" w:eastAsia="en-US" w:bidi="ar-SA"/>
              </w:rPr>
              <w:t>developing skills to use acquired knowledge in practice</w:t>
            </w:r>
            <w:r>
              <w:rPr>
                <w:rFonts w:eastAsia="Calibri" w:cs="Times New Roman" w:ascii="Times New Roman" w:hAnsi="Times New Roman"/>
                <w:kern w:val="0"/>
                <w:sz w:val="24"/>
                <w:szCs w:val="24"/>
                <w:lang w:val="en-GB" w:eastAsia="en-US" w:bidi="ar-SA"/>
              </w:rPr>
              <w:t>- to understand IT large-scale systems</w:t>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Normal"/>
        <w:rPr>
          <w:rFonts w:ascii="Times New Roman" w:hAnsi="Times New Roman" w:cs="Times New Roman"/>
          <w:sz w:val="24"/>
          <w:szCs w:val="24"/>
          <w:lang w:val="en-GB"/>
        </w:rPr>
      </w:pPr>
      <w:r>
        <w:rPr>
          <w:rFonts w:cs="Times New Roman" w:ascii="Times New Roman" w:hAnsi="Times New Roman"/>
          <w:sz w:val="24"/>
          <w:szCs w:val="24"/>
          <w:lang w:val="en-GB"/>
        </w:rPr>
      </w:r>
      <w:r>
        <w:br w:type="page"/>
      </w:r>
    </w:p>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numPr>
          <w:ilvl w:val="0"/>
          <w:numId w:val="1"/>
        </w:numPr>
        <w:rPr>
          <w:rFonts w:ascii="Times New Roman" w:hAnsi="Times New Roman" w:cs="Times New Roman"/>
          <w:b/>
          <w:sz w:val="24"/>
          <w:szCs w:val="24"/>
          <w:lang w:val="en-GB"/>
        </w:rPr>
      </w:pPr>
      <w:r>
        <w:rPr>
          <w:rFonts w:cs="Times New Roman" w:ascii="Times New Roman" w:hAnsi="Times New Roman"/>
          <w:b/>
          <w:sz w:val="24"/>
          <w:szCs w:val="24"/>
          <w:lang w:val="en-GB"/>
        </w:rPr>
        <w:t>Course learning outcomes with reference to programme learning outcomes</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4"/>
        <w:gridCol w:w="5832"/>
        <w:gridCol w:w="2136"/>
      </w:tblGrid>
      <w:tr>
        <w:trPr/>
        <w:tc>
          <w:tcPr>
            <w:tcW w:w="1094" w:type="dxa"/>
            <w:tcBorders/>
            <w:vAlign w:val="center"/>
          </w:tcPr>
          <w:p>
            <w:pPr>
              <w:pStyle w:val="Normal"/>
              <w:widowControl/>
              <w:spacing w:lineRule="atLeast" w:line="24" w:before="0" w:after="0"/>
              <w:ind w:left="0" w:right="0" w:firstLine="33"/>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Symbol</w:t>
            </w:r>
          </w:p>
          <w:p>
            <w:pPr>
              <w:pStyle w:val="Normal"/>
              <w:widowControl/>
              <w:spacing w:lineRule="atLeast" w:line="24" w:before="0" w:after="0"/>
              <w:ind w:left="0" w:right="0" w:firstLine="33"/>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5832" w:type="dxa"/>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Description of course learning outcome</w:t>
            </w:r>
          </w:p>
        </w:tc>
        <w:tc>
          <w:tcPr>
            <w:tcW w:w="2136" w:type="dxa"/>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Reference to programme learning outcome</w:t>
            </w:r>
          </w:p>
        </w:tc>
      </w:tr>
      <w:tr>
        <w:trPr/>
        <w:tc>
          <w:tcPr>
            <w:tcW w:w="9062" w:type="dxa"/>
            <w:gridSpan w:val="3"/>
            <w:tcBorders/>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KNOWLEDGE</w:t>
            </w:r>
          </w:p>
        </w:tc>
      </w:tr>
      <w:tr>
        <w:trPr/>
        <w:tc>
          <w:tcPr>
            <w:tcW w:w="109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W_01</w:t>
            </w:r>
          </w:p>
        </w:tc>
        <w:tc>
          <w:tcPr>
            <w:tcW w:w="58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 xml:space="preserve">The graduate knows and understands in depth the determinants of smart borders rules and cooperation </w:t>
            </w:r>
          </w:p>
        </w:tc>
        <w:tc>
          <w:tcPr>
            <w:tcW w:w="2136"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pl-PL" w:eastAsia="en-US" w:bidi="ar-SA"/>
              </w:rPr>
              <w:t>K_W02</w:t>
            </w:r>
          </w:p>
        </w:tc>
      </w:tr>
      <w:tr>
        <w:trPr/>
        <w:tc>
          <w:tcPr>
            <w:tcW w:w="109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W_02</w:t>
            </w:r>
          </w:p>
        </w:tc>
        <w:tc>
          <w:tcPr>
            <w:tcW w:w="58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The graduate knows and understands in depth the in EU internal security, interpreting the functioning of IT large-scale systems</w:t>
            </w:r>
          </w:p>
        </w:tc>
        <w:tc>
          <w:tcPr>
            <w:tcW w:w="2136"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pl-PL" w:eastAsia="en-US" w:bidi="ar-SA"/>
              </w:rPr>
              <w:t>K_W06</w:t>
            </w:r>
          </w:p>
        </w:tc>
      </w:tr>
      <w:tr>
        <w:trPr/>
        <w:tc>
          <w:tcPr>
            <w:tcW w:w="9062" w:type="dxa"/>
            <w:gridSpan w:val="3"/>
            <w:tcBorders/>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SKILLS</w:t>
            </w:r>
          </w:p>
        </w:tc>
      </w:tr>
      <w:tr>
        <w:trPr/>
        <w:tc>
          <w:tcPr>
            <w:tcW w:w="109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U_01</w:t>
            </w:r>
          </w:p>
        </w:tc>
        <w:tc>
          <w:tcPr>
            <w:tcW w:w="58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The graduate can use his in-depth theoretical knowledge to analyse and explain the rules of smart boredrs' functioning</w:t>
            </w:r>
          </w:p>
        </w:tc>
        <w:tc>
          <w:tcPr>
            <w:tcW w:w="2136"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pl-PL" w:eastAsia="en-US" w:bidi="ar-SA"/>
              </w:rPr>
              <w:t>K_U01</w:t>
            </w:r>
          </w:p>
        </w:tc>
      </w:tr>
      <w:tr>
        <w:trPr/>
        <w:tc>
          <w:tcPr>
            <w:tcW w:w="109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U_02</w:t>
            </w:r>
          </w:p>
        </w:tc>
        <w:tc>
          <w:tcPr>
            <w:tcW w:w="58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Graduates can briefly, understandably and critically communicate and debate, using specialist terminology in smart boredrs area.</w:t>
            </w:r>
          </w:p>
        </w:tc>
        <w:tc>
          <w:tcPr>
            <w:tcW w:w="2136"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pl-PL" w:eastAsia="en-US" w:bidi="ar-SA"/>
              </w:rPr>
              <w:t>K_U09</w:t>
            </w:r>
          </w:p>
        </w:tc>
      </w:tr>
      <w:tr>
        <w:trPr/>
        <w:tc>
          <w:tcPr>
            <w:tcW w:w="9062" w:type="dxa"/>
            <w:gridSpan w:val="3"/>
            <w:tcBorders/>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SOCIAL COMPETENCIES</w:t>
            </w:r>
          </w:p>
        </w:tc>
      </w:tr>
      <w:tr>
        <w:trPr/>
        <w:tc>
          <w:tcPr>
            <w:tcW w:w="1094"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K_01</w:t>
            </w:r>
          </w:p>
        </w:tc>
        <w:tc>
          <w:tcPr>
            <w:tcW w:w="58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The graduate is willing to perform functions in border and police authorities</w:t>
            </w:r>
          </w:p>
        </w:tc>
        <w:tc>
          <w:tcPr>
            <w:tcW w:w="2136"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K_K02</w:t>
            </w:r>
          </w:p>
        </w:tc>
      </w:tr>
    </w:tbl>
    <w:p>
      <w:pPr>
        <w:pStyle w:val="ListParagraph"/>
        <w:ind w:left="1080" w:hanging="0"/>
        <w:rPr>
          <w:rFonts w:ascii="Times New Roman" w:hAnsi="Times New Roman" w:cs="Times New Roman"/>
          <w:b/>
          <w:sz w:val="24"/>
          <w:szCs w:val="24"/>
          <w:lang w:val="en-GB"/>
        </w:rPr>
      </w:pPr>
      <w:r>
        <w:rPr>
          <w:rFonts w:cs="Times New Roman" w:ascii="Times New Roman" w:hAnsi="Times New Roman"/>
          <w:b/>
          <w:sz w:val="24"/>
          <w:szCs w:val="24"/>
          <w:lang w:val="en-GB"/>
        </w:rPr>
      </w:r>
    </w:p>
    <w:p>
      <w:pPr>
        <w:pStyle w:val="ListParagraph"/>
        <w:numPr>
          <w:ilvl w:val="0"/>
          <w:numId w:val="1"/>
        </w:numPr>
        <w:rPr>
          <w:rFonts w:ascii="Times New Roman" w:hAnsi="Times New Roman" w:cs="Times New Roman"/>
          <w:bCs/>
          <w:sz w:val="24"/>
          <w:szCs w:val="24"/>
          <w:lang w:val="en-GB"/>
        </w:rPr>
      </w:pPr>
      <w:r>
        <w:rPr>
          <w:rFonts w:cs="Times New Roman" w:ascii="Times New Roman" w:hAnsi="Times New Roman"/>
          <w:bCs/>
          <w:sz w:val="24"/>
          <w:szCs w:val="24"/>
          <w:lang w:val="en-GB"/>
        </w:rPr>
        <w:t>Course Content</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Definition of smart borders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 xml:space="preserve">AFSJ and Schengen </w:t>
            </w:r>
            <w:r>
              <w:rPr>
                <w:rFonts w:eastAsia="Calibri" w:cs="Times New Roman" w:ascii="Times New Roman" w:hAnsi="Times New Roman"/>
                <w:bCs/>
                <w:i/>
                <w:iCs/>
                <w:kern w:val="0"/>
                <w:sz w:val="24"/>
                <w:szCs w:val="24"/>
                <w:lang w:val="en-GB" w:eastAsia="en-US" w:bidi="ar-SA"/>
              </w:rPr>
              <w:t>acquis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Legal basis of smart borders package</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New technologies at border crossing point – ABC gates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Entry/Exit System as a main IT large-scale system of smart borders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 xml:space="preserve">Existing IT large-scale systems: SIS II, VIS, EURODAC </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New IT large-scale systems: EES, ETIAS, ECRIS-TCN</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Eu-LISA for  IT large-scale systems in AFSJ</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EUROSUR as a smart systems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The Schengen Borders Code legal reforms in terms of smart borders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New technologies at EU eastern external border - a response to the instrumentalisation of migrants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Border fences and electronic security at the border walls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Satellite technologies in border surveillance (COPERNICUS)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FRONTEX role in smart borders</w:t>
            </w:r>
          </w:p>
          <w:p>
            <w:pPr>
              <w:pStyle w:val="ListParagraph"/>
              <w:widowControl/>
              <w:numPr>
                <w:ilvl w:val="0"/>
                <w:numId w:val="2"/>
              </w:numPr>
              <w:spacing w:lineRule="auto" w:line="240" w:before="0" w:after="0"/>
              <w:contextualSpacing/>
              <w:jc w:val="left"/>
              <w:rPr>
                <w:rFonts w:ascii="Times New Roman" w:hAnsi="Times New Roman" w:cs="Times New Roman"/>
                <w:bCs/>
                <w:sz w:val="24"/>
                <w:szCs w:val="24"/>
                <w:lang w:val="en-GB"/>
              </w:rPr>
            </w:pPr>
            <w:r>
              <w:rPr>
                <w:rFonts w:eastAsia="Calibri" w:cs="Times New Roman" w:ascii="Times New Roman" w:hAnsi="Times New Roman"/>
                <w:bCs/>
                <w:kern w:val="0"/>
                <w:sz w:val="24"/>
                <w:szCs w:val="24"/>
                <w:lang w:val="en-GB" w:eastAsia="en-US" w:bidi="ar-SA"/>
              </w:rPr>
              <w:t xml:space="preserve">The newest aspects of smart borders in the EU </w:t>
            </w:r>
          </w:p>
        </w:tc>
      </w:tr>
    </w:tbl>
    <w:p>
      <w:pPr>
        <w:pStyle w:val="Normal"/>
        <w:rPr>
          <w:rFonts w:ascii="Times New Roman" w:hAnsi="Times New Roman" w:cs="Times New Roman"/>
          <w:b/>
          <w:sz w:val="24"/>
          <w:szCs w:val="24"/>
          <w:lang w:val="en-GB"/>
        </w:rPr>
      </w:pPr>
      <w:r>
        <w:rPr>
          <w:rFonts w:cs="Times New Roman" w:ascii="Times New Roman" w:hAnsi="Times New Roman"/>
          <w:b/>
          <w:sz w:val="24"/>
          <w:szCs w:val="24"/>
          <w:lang w:val="en-GB"/>
        </w:rPr>
      </w:r>
    </w:p>
    <w:p>
      <w:pPr>
        <w:pStyle w:val="ListParagraph"/>
        <w:numPr>
          <w:ilvl w:val="0"/>
          <w:numId w:val="1"/>
        </w:numPr>
        <w:rPr>
          <w:rFonts w:ascii="Times New Roman" w:hAnsi="Times New Roman" w:cs="Times New Roman"/>
          <w:b/>
          <w:sz w:val="24"/>
          <w:szCs w:val="24"/>
          <w:lang w:val="en-GB"/>
        </w:rPr>
      </w:pPr>
      <w:r>
        <w:rPr>
          <w:rFonts w:cs="Times New Roman" w:ascii="Times New Roman" w:hAnsi="Times New Roman"/>
          <w:b/>
          <w:sz w:val="24"/>
          <w:szCs w:val="24"/>
          <w:lang w:val="en-GB"/>
        </w:rPr>
        <w:t>Didactic methods used and forms of assessment of learning outcomes</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91"/>
        <w:gridCol w:w="2638"/>
        <w:gridCol w:w="2782"/>
        <w:gridCol w:w="2550"/>
      </w:tblGrid>
      <w:tr>
        <w:trPr/>
        <w:tc>
          <w:tcPr>
            <w:tcW w:w="1091" w:type="dxa"/>
            <w:tcBorders/>
            <w:vAlign w:val="center"/>
          </w:tcPr>
          <w:p>
            <w:pPr>
              <w:pStyle w:val="Normal"/>
              <w:widowControl/>
              <w:spacing w:lineRule="atLeast" w:line="24" w:before="0" w:after="0"/>
              <w:ind w:left="0" w:right="0" w:firstLine="33"/>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Symbol</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c>
          <w:tcPr>
            <w:tcW w:w="2638" w:type="dxa"/>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Didactic methods</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i/>
                <w:kern w:val="0"/>
                <w:sz w:val="24"/>
                <w:szCs w:val="24"/>
                <w:lang w:val="en-GB" w:eastAsia="en-US" w:bidi="ar-SA"/>
              </w:rPr>
              <w:t>(choose from the list)</w:t>
            </w:r>
          </w:p>
        </w:tc>
        <w:tc>
          <w:tcPr>
            <w:tcW w:w="2782" w:type="dxa"/>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Forms of assessment</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i/>
                <w:kern w:val="0"/>
                <w:sz w:val="24"/>
                <w:szCs w:val="24"/>
                <w:lang w:val="en-GB" w:eastAsia="en-US" w:bidi="ar-SA"/>
              </w:rPr>
              <w:t>(choose from the list)</w:t>
            </w:r>
          </w:p>
        </w:tc>
        <w:tc>
          <w:tcPr>
            <w:tcW w:w="2550" w:type="dxa"/>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Documentation type</w:t>
            </w:r>
          </w:p>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i/>
                <w:kern w:val="0"/>
                <w:sz w:val="24"/>
                <w:szCs w:val="24"/>
                <w:lang w:val="en-GB" w:eastAsia="en-US" w:bidi="ar-SA"/>
              </w:rPr>
              <w:t>(choose from the list)</w:t>
            </w:r>
          </w:p>
        </w:tc>
      </w:tr>
      <w:tr>
        <w:trPr/>
        <w:tc>
          <w:tcPr>
            <w:tcW w:w="9061" w:type="dxa"/>
            <w:gridSpan w:val="4"/>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KNOWLEDGE</w:t>
            </w:r>
          </w:p>
        </w:tc>
      </w:tr>
      <w:tr>
        <w:trPr/>
        <w:tc>
          <w:tcPr>
            <w:tcW w:w="109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W_01</w:t>
            </w:r>
          </w:p>
        </w:tc>
        <w:tc>
          <w:tcPr>
            <w:tcW w:w="2638" w:type="dxa"/>
            <w:tcBorders/>
          </w:tcPr>
          <w:p>
            <w:pPr>
              <w:pStyle w:val="Normal"/>
              <w:widowControl/>
              <w:spacing w:lineRule="auto" w:line="240" w:before="0" w:after="0"/>
              <w:jc w:val="left"/>
              <w:rPr>
                <w:rFonts w:ascii="Times New Roman" w:hAnsi="Times New Roman" w:cs="Times New Roman"/>
                <w:b/>
                <w:sz w:val="24"/>
                <w:szCs w:val="24"/>
                <w:lang w:val="en-GB"/>
              </w:rPr>
            </w:pPr>
            <w:r>
              <w:rPr>
                <w:rStyle w:val="Fontstyle01"/>
                <w:rFonts w:eastAsia="Calibri" w:cs="Times New Roman" w:ascii="Times New Roman" w:hAnsi="Times New Roman"/>
                <w:b w:val="false"/>
                <w:kern w:val="0"/>
                <w:sz w:val="24"/>
                <w:szCs w:val="24"/>
                <w:lang w:val="pl-PL" w:eastAsia="en-US" w:bidi="ar-SA"/>
              </w:rPr>
              <w:t>Case study</w:t>
            </w:r>
          </w:p>
        </w:tc>
        <w:tc>
          <w:tcPr>
            <w:tcW w:w="278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preparation</w:t>
            </w:r>
          </w:p>
        </w:tc>
        <w:tc>
          <w:tcPr>
            <w:tcW w:w="25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Grade card</w:t>
            </w:r>
          </w:p>
        </w:tc>
      </w:tr>
      <w:tr>
        <w:trPr/>
        <w:tc>
          <w:tcPr>
            <w:tcW w:w="109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W_02</w:t>
            </w:r>
          </w:p>
        </w:tc>
        <w:tc>
          <w:tcPr>
            <w:tcW w:w="2638" w:type="dxa"/>
            <w:tcBorders/>
          </w:tcPr>
          <w:p>
            <w:pPr>
              <w:pStyle w:val="Normal"/>
              <w:widowControl/>
              <w:spacing w:lineRule="auto" w:line="240" w:before="0" w:after="0"/>
              <w:jc w:val="left"/>
              <w:rPr>
                <w:rFonts w:ascii="Times New Roman" w:hAnsi="Times New Roman" w:cs="Times New Roman"/>
                <w:b/>
                <w:sz w:val="24"/>
                <w:szCs w:val="24"/>
                <w:lang w:val="en-GB"/>
              </w:rPr>
            </w:pPr>
            <w:r>
              <w:rPr>
                <w:rStyle w:val="Fontstyle01"/>
                <w:rFonts w:eastAsia="Calibri" w:cs="Times New Roman" w:ascii="Times New Roman" w:hAnsi="Times New Roman"/>
                <w:b w:val="false"/>
                <w:kern w:val="0"/>
                <w:sz w:val="24"/>
                <w:szCs w:val="24"/>
                <w:lang w:val="pl-PL" w:eastAsia="en-US" w:bidi="ar-SA"/>
              </w:rPr>
              <w:t>Conversational</w:t>
            </w:r>
            <w:r>
              <w:rPr>
                <w:rFonts w:eastAsia="Calibri" w:cs="Times New Roman" w:ascii="Times New Roman" w:hAnsi="Times New Roman"/>
                <w:b/>
                <w:bCs/>
                <w:color w:val="000000"/>
                <w:kern w:val="0"/>
                <w:sz w:val="24"/>
                <w:szCs w:val="24"/>
                <w:lang w:val="pl-PL" w:eastAsia="en-US" w:bidi="ar-SA"/>
              </w:rPr>
              <w:br/>
            </w:r>
            <w:r>
              <w:rPr>
                <w:rStyle w:val="Fontstyle01"/>
                <w:rFonts w:eastAsia="Calibri" w:cs="Times New Roman" w:ascii="Times New Roman" w:hAnsi="Times New Roman"/>
                <w:b w:val="false"/>
                <w:kern w:val="0"/>
                <w:sz w:val="24"/>
                <w:szCs w:val="24"/>
                <w:lang w:val="pl-PL" w:eastAsia="en-US" w:bidi="ar-SA"/>
              </w:rPr>
              <w:t>lecture</w:t>
            </w:r>
          </w:p>
        </w:tc>
        <w:tc>
          <w:tcPr>
            <w:tcW w:w="278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Oral test</w:t>
            </w:r>
          </w:p>
        </w:tc>
        <w:tc>
          <w:tcPr>
            <w:tcW w:w="25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Grade card</w:t>
            </w:r>
          </w:p>
        </w:tc>
      </w:tr>
      <w:tr>
        <w:trPr/>
        <w:tc>
          <w:tcPr>
            <w:tcW w:w="9061" w:type="dxa"/>
            <w:gridSpan w:val="4"/>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 xml:space="preserve">SKILLS </w:t>
            </w:r>
          </w:p>
        </w:tc>
      </w:tr>
      <w:tr>
        <w:trPr/>
        <w:tc>
          <w:tcPr>
            <w:tcW w:w="109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U_01</w:t>
            </w:r>
          </w:p>
        </w:tc>
        <w:tc>
          <w:tcPr>
            <w:tcW w:w="2638" w:type="dxa"/>
            <w:tcBorders/>
          </w:tcPr>
          <w:p>
            <w:pPr>
              <w:pStyle w:val="Normal"/>
              <w:widowControl/>
              <w:spacing w:lineRule="auto" w:line="240" w:before="0" w:after="0"/>
              <w:jc w:val="left"/>
              <w:rPr>
                <w:rFonts w:ascii="Times New Roman" w:hAnsi="Times New Roman" w:cs="Times New Roman"/>
                <w:b/>
                <w:sz w:val="24"/>
                <w:szCs w:val="24"/>
                <w:lang w:val="en-GB"/>
              </w:rPr>
            </w:pPr>
            <w:r>
              <w:rPr>
                <w:rStyle w:val="Fontstyle01"/>
                <w:rFonts w:eastAsia="Calibri" w:cs="Times New Roman" w:ascii="Times New Roman" w:hAnsi="Times New Roman"/>
                <w:b w:val="false"/>
                <w:kern w:val="0"/>
                <w:sz w:val="24"/>
                <w:szCs w:val="24"/>
                <w:lang w:val="pl-PL" w:eastAsia="en-US" w:bidi="ar-SA"/>
              </w:rPr>
              <w:t>Textual analysis</w:t>
            </w:r>
          </w:p>
        </w:tc>
        <w:tc>
          <w:tcPr>
            <w:tcW w:w="278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color w:val="000000"/>
                <w:kern w:val="0"/>
                <w:sz w:val="24"/>
                <w:szCs w:val="24"/>
                <w:lang w:val="pl-PL" w:eastAsia="en-US" w:bidi="ar-SA"/>
              </w:rPr>
              <w:t>Test of practical</w:t>
              <w:br/>
              <w:t>skills</w:t>
            </w:r>
          </w:p>
        </w:tc>
        <w:tc>
          <w:tcPr>
            <w:tcW w:w="25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color w:val="000000"/>
                <w:kern w:val="0"/>
                <w:sz w:val="24"/>
                <w:szCs w:val="24"/>
                <w:lang w:val="pl-PL" w:eastAsia="en-US" w:bidi="ar-SA"/>
              </w:rPr>
              <w:t>Evaluated</w:t>
              <w:br/>
              <w:t>written paper</w:t>
            </w:r>
          </w:p>
        </w:tc>
      </w:tr>
      <w:tr>
        <w:trPr/>
        <w:tc>
          <w:tcPr>
            <w:tcW w:w="109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U_02</w:t>
            </w:r>
          </w:p>
        </w:tc>
        <w:tc>
          <w:tcPr>
            <w:tcW w:w="2638" w:type="dxa"/>
            <w:tcBorders/>
          </w:tcPr>
          <w:p>
            <w:pPr>
              <w:pStyle w:val="Normal"/>
              <w:widowControl/>
              <w:spacing w:lineRule="auto" w:line="240" w:before="0" w:after="0"/>
              <w:jc w:val="left"/>
              <w:rPr>
                <w:rFonts w:ascii="Times New Roman" w:hAnsi="Times New Roman" w:cs="Times New Roman"/>
                <w:b/>
                <w:sz w:val="24"/>
                <w:szCs w:val="24"/>
                <w:lang w:val="en-GB"/>
              </w:rPr>
            </w:pPr>
            <w:r>
              <w:rPr>
                <w:rStyle w:val="Fontstyle01"/>
                <w:rFonts w:eastAsia="Calibri" w:cs="Times New Roman" w:ascii="Times New Roman" w:hAnsi="Times New Roman"/>
                <w:b w:val="false"/>
                <w:kern w:val="0"/>
                <w:sz w:val="24"/>
                <w:szCs w:val="24"/>
                <w:lang w:val="pl-PL" w:eastAsia="en-US" w:bidi="ar-SA"/>
              </w:rPr>
              <w:t>Brainstorming</w:t>
            </w:r>
          </w:p>
        </w:tc>
        <w:tc>
          <w:tcPr>
            <w:tcW w:w="278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preparation</w:t>
            </w:r>
          </w:p>
        </w:tc>
        <w:tc>
          <w:tcPr>
            <w:tcW w:w="25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observation</w:t>
            </w:r>
          </w:p>
        </w:tc>
      </w:tr>
      <w:tr>
        <w:trPr/>
        <w:tc>
          <w:tcPr>
            <w:tcW w:w="9061" w:type="dxa"/>
            <w:gridSpan w:val="4"/>
            <w:tcBorders/>
            <w:vAlign w:val="center"/>
          </w:tcPr>
          <w:p>
            <w:pPr>
              <w:pStyle w:val="Normal"/>
              <w:widowControl/>
              <w:spacing w:lineRule="auto" w:line="240" w:before="0" w:after="0"/>
              <w:jc w:val="center"/>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SOCIAL COMPETENCIES</w:t>
            </w:r>
          </w:p>
        </w:tc>
      </w:tr>
      <w:tr>
        <w:trPr/>
        <w:tc>
          <w:tcPr>
            <w:tcW w:w="1091"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K_01</w:t>
            </w:r>
          </w:p>
        </w:tc>
        <w:tc>
          <w:tcPr>
            <w:tcW w:w="2638"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bCs/>
                <w:color w:val="000000"/>
                <w:kern w:val="0"/>
                <w:sz w:val="24"/>
                <w:szCs w:val="24"/>
                <w:lang w:val="pl-PL" w:eastAsia="en-US" w:bidi="ar-SA"/>
              </w:rPr>
              <w:t>Project-based</w:t>
              <w:br/>
              <w:t>learning</w:t>
            </w:r>
          </w:p>
        </w:tc>
        <w:tc>
          <w:tcPr>
            <w:tcW w:w="278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color w:val="000000"/>
                <w:kern w:val="0"/>
                <w:sz w:val="24"/>
                <w:szCs w:val="24"/>
                <w:lang w:val="en-US" w:eastAsia="en-US" w:bidi="ar-SA"/>
              </w:rPr>
              <w:t>Preparation /</w:t>
              <w:br/>
              <w:t>implementation</w:t>
              <w:br/>
              <w:t>of the project</w:t>
            </w:r>
          </w:p>
        </w:tc>
        <w:tc>
          <w:tcPr>
            <w:tcW w:w="2550"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color w:val="000000"/>
                <w:kern w:val="0"/>
                <w:sz w:val="24"/>
                <w:szCs w:val="24"/>
                <w:lang w:val="pl-PL" w:eastAsia="en-US" w:bidi="ar-SA"/>
              </w:rPr>
              <w:t>Project rating</w:t>
              <w:br/>
              <w:t>card</w:t>
            </w:r>
          </w:p>
        </w:tc>
      </w:tr>
    </w:tbl>
    <w:p>
      <w:pPr>
        <w:pStyle w:val="Normal"/>
        <w:spacing w:before="0" w:after="0"/>
        <w:rPr>
          <w:rFonts w:ascii="Times New Roman" w:hAnsi="Times New Roman" w:cs="Times New Roman"/>
          <w:sz w:val="24"/>
          <w:szCs w:val="24"/>
          <w:lang w:val="en-GB"/>
        </w:rPr>
      </w:pPr>
      <w:r>
        <w:rPr>
          <w:rFonts w:cs="Times New Roman" w:ascii="Times New Roman" w:hAnsi="Times New Roman"/>
          <w:sz w:val="24"/>
          <w:szCs w:val="24"/>
          <w:lang w:val="en-GB"/>
        </w:rPr>
      </w:r>
    </w:p>
    <w:p>
      <w:pPr>
        <w:pStyle w:val="ListParagraph"/>
        <w:ind w:left="1080" w:hanging="0"/>
        <w:rPr>
          <w:rFonts w:ascii="Times New Roman" w:hAnsi="Times New Roman" w:cs="Times New Roman"/>
          <w:b/>
          <w:sz w:val="24"/>
          <w:szCs w:val="24"/>
          <w:lang w:val="en-GB"/>
        </w:rPr>
      </w:pPr>
      <w:r>
        <w:rPr>
          <w:rFonts w:cs="Times New Roman" w:ascii="Times New Roman" w:hAnsi="Times New Roman"/>
          <w:b/>
          <w:sz w:val="24"/>
          <w:szCs w:val="24"/>
          <w:lang w:val="en-GB"/>
        </w:rPr>
      </w:r>
    </w:p>
    <w:p>
      <w:pPr>
        <w:pStyle w:val="ListParagraph"/>
        <w:numPr>
          <w:ilvl w:val="0"/>
          <w:numId w:val="1"/>
        </w:numPr>
        <w:rPr>
          <w:rFonts w:ascii="Times New Roman" w:hAnsi="Times New Roman" w:cs="Times New Roman"/>
          <w:b/>
          <w:sz w:val="24"/>
          <w:szCs w:val="24"/>
          <w:lang w:val="en-GB"/>
        </w:rPr>
      </w:pPr>
      <w:r>
        <w:rPr>
          <w:rFonts w:cs="Times New Roman" w:ascii="Times New Roman" w:hAnsi="Times New Roman"/>
          <w:b/>
          <w:sz w:val="24"/>
          <w:szCs w:val="24"/>
          <w:lang w:val="en-GB"/>
        </w:rPr>
        <w:t>Grading criteria, weighting factors.....</w:t>
      </w:r>
    </w:p>
    <w:p>
      <w:pPr>
        <w:pStyle w:val="Normal"/>
        <w:ind w:firstLine="360"/>
        <w:rPr>
          <w:rFonts w:ascii="Times New Roman" w:hAnsi="Times New Roman" w:cs="Times New Roman"/>
          <w:b/>
          <w:sz w:val="24"/>
          <w:szCs w:val="24"/>
          <w:lang w:val="en-GB"/>
        </w:rPr>
      </w:pPr>
      <w:r>
        <w:rPr>
          <w:rFonts w:cs="Times New Roman" w:ascii="Times New Roman" w:hAnsi="Times New Roman"/>
          <w:sz w:val="24"/>
          <w:szCs w:val="24"/>
          <w:lang w:val="en-US"/>
        </w:rPr>
        <w:t>Final mark will will consist of final test, students presentation on selected problems about IT large-scele systems, also include activity and presence. Students are required to demonstrate in presentations and during group work the practical application of legal regulations learned at the lecture. The final test and presentations represent 80% of the final grade, 15% are group work and 5% are presence.</w:t>
        <w:br/>
        <w:t xml:space="preserve">60% - 3 </w:t>
        <w:br/>
        <w:t xml:space="preserve">65%- 3.5 </w:t>
        <w:br/>
        <w:t xml:space="preserve">70 % - 4 </w:t>
        <w:br/>
        <w:t xml:space="preserve">75 %- 4.5 </w:t>
        <w:br/>
        <w:t>80 % - 5.</w:t>
      </w:r>
      <w:r>
        <w:rPr>
          <w:rFonts w:cs="Times New Roman" w:ascii="Times New Roman" w:hAnsi="Times New Roman"/>
          <w:b/>
          <w:sz w:val="24"/>
          <w:szCs w:val="24"/>
          <w:lang w:val="en-GB"/>
        </w:rPr>
        <w:t xml:space="preserve"> </w:t>
      </w:r>
    </w:p>
    <w:p>
      <w:pPr>
        <w:pStyle w:val="Normal"/>
        <w:rPr>
          <w:rFonts w:ascii="Times New Roman" w:hAnsi="Times New Roman" w:cs="Times New Roman"/>
          <w:b/>
          <w:sz w:val="24"/>
          <w:szCs w:val="24"/>
          <w:lang w:val="en-GB"/>
        </w:rPr>
      </w:pPr>
      <w:r>
        <w:rPr>
          <w:rFonts w:cs="Times New Roman" w:ascii="Times New Roman" w:hAnsi="Times New Roman"/>
          <w:b/>
          <w:sz w:val="24"/>
          <w:szCs w:val="24"/>
          <w:lang w:val="en-GB"/>
        </w:rPr>
      </w:r>
    </w:p>
    <w:p>
      <w:pPr>
        <w:pStyle w:val="Normal"/>
        <w:rPr>
          <w:rFonts w:ascii="Times New Roman" w:hAnsi="Times New Roman" w:cs="Times New Roman"/>
          <w:sz w:val="24"/>
          <w:szCs w:val="24"/>
        </w:rPr>
      </w:pPr>
      <w:r>
        <w:rPr>
          <w:rFonts w:cs="Times New Roman" w:ascii="Times New Roman" w:hAnsi="Times New Roman"/>
          <w:b/>
          <w:sz w:val="24"/>
          <w:szCs w:val="24"/>
          <w:lang w:val="en-GB"/>
        </w:rPr>
        <w:t>V. Student workload</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2"/>
        <w:gridCol w:w="4529"/>
      </w:tblGrid>
      <w:tr>
        <w:trPr/>
        <w:tc>
          <w:tcPr>
            <w:tcW w:w="45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Form of activity</w:t>
            </w:r>
          </w:p>
        </w:tc>
        <w:tc>
          <w:tcPr>
            <w:tcW w:w="4529"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Number of hours</w:t>
            </w:r>
          </w:p>
        </w:tc>
      </w:tr>
      <w:tr>
        <w:trPr/>
        <w:tc>
          <w:tcPr>
            <w:tcW w:w="45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Number of contact hours (with the teacher)</w:t>
            </w:r>
          </w:p>
          <w:p>
            <w:pPr>
              <w:pStyle w:val="Normal"/>
              <w:widowControl/>
              <w:spacing w:lineRule="auto" w:line="240" w:before="0" w:after="0"/>
              <w:jc w:val="left"/>
              <w:rPr>
                <w:rFonts w:ascii="Times New Roman" w:hAnsi="Times New Roman" w:cs="Times New Roman"/>
                <w:i/>
                <w:i/>
                <w:sz w:val="24"/>
                <w:szCs w:val="24"/>
                <w:lang w:val="en-GB"/>
              </w:rPr>
            </w:pPr>
            <w:r>
              <w:rPr>
                <w:rFonts w:eastAsia="Calibri" w:cs="Times New Roman" w:ascii="Times New Roman" w:hAnsi="Times New Roman"/>
                <w:i/>
                <w:kern w:val="0"/>
                <w:sz w:val="24"/>
                <w:szCs w:val="24"/>
                <w:lang w:val="en-GB" w:eastAsia="en-US" w:bidi="ar-SA"/>
              </w:rPr>
            </w:r>
          </w:p>
        </w:tc>
        <w:tc>
          <w:tcPr>
            <w:tcW w:w="4529"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15</w:t>
            </w:r>
          </w:p>
        </w:tc>
      </w:tr>
      <w:tr>
        <w:trPr/>
        <w:tc>
          <w:tcPr>
            <w:tcW w:w="453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Number of hours of individual student work</w:t>
            </w:r>
          </w:p>
          <w:p>
            <w:pPr>
              <w:pStyle w:val="Normal"/>
              <w:widowControl/>
              <w:spacing w:lineRule="auto" w:line="240" w:before="0" w:after="0"/>
              <w:jc w:val="left"/>
              <w:rPr>
                <w:rFonts w:ascii="Times New Roman" w:hAnsi="Times New Roman" w:cs="Times New Roman"/>
                <w:i/>
                <w:i/>
                <w:sz w:val="24"/>
                <w:szCs w:val="24"/>
                <w:lang w:val="en-GB"/>
              </w:rPr>
            </w:pPr>
            <w:r>
              <w:rPr>
                <w:rFonts w:eastAsia="Calibri" w:cs="Times New Roman" w:ascii="Times New Roman" w:hAnsi="Times New Roman"/>
                <w:i/>
                <w:kern w:val="0"/>
                <w:sz w:val="24"/>
                <w:szCs w:val="24"/>
                <w:lang w:val="en-GB" w:eastAsia="en-US" w:bidi="ar-SA"/>
              </w:rPr>
            </w:r>
          </w:p>
        </w:tc>
        <w:tc>
          <w:tcPr>
            <w:tcW w:w="4529"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30</w:t>
            </w:r>
          </w:p>
        </w:tc>
      </w:tr>
    </w:tbl>
    <w:p>
      <w:pPr>
        <w:pStyle w:val="Normal"/>
        <w:spacing w:before="0" w:after="0"/>
        <w:rPr>
          <w:rFonts w:ascii="Times New Roman" w:hAnsi="Times New Roman" w:cs="Times New Roman"/>
          <w:b/>
          <w:sz w:val="24"/>
          <w:szCs w:val="24"/>
          <w:lang w:val="en-GB"/>
        </w:rPr>
      </w:pPr>
      <w:r>
        <w:rPr>
          <w:rFonts w:cs="Times New Roman" w:ascii="Times New Roman" w:hAnsi="Times New Roman"/>
          <w:b/>
          <w:sz w:val="24"/>
          <w:szCs w:val="24"/>
          <w:lang w:val="en-GB"/>
        </w:rPr>
      </w:r>
    </w:p>
    <w:p>
      <w:pPr>
        <w:pStyle w:val="ListParagraph"/>
        <w:numPr>
          <w:ilvl w:val="0"/>
          <w:numId w:val="1"/>
        </w:numPr>
        <w:rPr>
          <w:rFonts w:ascii="Times New Roman" w:hAnsi="Times New Roman" w:cs="Times New Roman"/>
          <w:b/>
          <w:sz w:val="24"/>
          <w:szCs w:val="24"/>
          <w:lang w:val="en-GB"/>
        </w:rPr>
      </w:pPr>
      <w:r>
        <w:rPr>
          <w:rFonts w:cs="Times New Roman" w:ascii="Times New Roman" w:hAnsi="Times New Roman"/>
          <w:b/>
          <w:sz w:val="24"/>
          <w:szCs w:val="24"/>
          <w:lang w:val="en-GB"/>
        </w:rPr>
        <w:t>Literature</w:t>
      </w:r>
    </w:p>
    <w:tbl>
      <w:tblPr>
        <w:tblStyle w:val="Tabela-Siatka"/>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Basic literature</w:t>
            </w:r>
          </w:p>
        </w:tc>
      </w:tr>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US" w:eastAsia="en-US" w:bidi="ar-SA"/>
              </w:rPr>
              <w:t>1. Smart Borders: EU Entry/Exit System, European Parliamentary Research Service, https://www.europarl.europa.eu/RegData/etudes/BRIE/2016/586614/EPRS_BRI(2016)586614_EN.pdf</w:t>
            </w:r>
            <w:r>
              <w:rPr>
                <w:rFonts w:eastAsia="Calibri" w:cs="Times New Roman" w:ascii="Times New Roman" w:hAnsi="Times New Roman"/>
                <w:kern w:val="0"/>
                <w:sz w:val="24"/>
                <w:szCs w:val="24"/>
                <w:lang w:val="en-GB" w:eastAsia="en-US" w:bidi="ar-SA"/>
              </w:rPr>
              <w:t xml:space="preserve"> </w:t>
            </w:r>
          </w:p>
          <w:p>
            <w:pPr>
              <w:pStyle w:val="Normal"/>
              <w:widowControl/>
              <w:spacing w:lineRule="auto" w:line="240" w:beforeAutospacing="1" w:afterAutospacing="1"/>
              <w:jc w:val="left"/>
              <w:rPr>
                <w:rFonts w:ascii="Times New Roman" w:hAnsi="Times New Roman" w:eastAsia="Times New Roman" w:cs="Times New Roman"/>
                <w:i/>
                <w:i/>
                <w:iCs/>
                <w:sz w:val="24"/>
                <w:szCs w:val="24"/>
                <w:lang w:val="en-US" w:eastAsia="pl-PL"/>
              </w:rPr>
            </w:pPr>
            <w:r>
              <w:rPr>
                <w:rFonts w:eastAsia="Times New Roman" w:cs="Times New Roman" w:ascii="Times New Roman" w:hAnsi="Times New Roman"/>
                <w:kern w:val="0"/>
                <w:sz w:val="24"/>
                <w:szCs w:val="24"/>
                <w:lang w:val="en-US" w:eastAsia="pl-PL" w:bidi="ar-SA"/>
              </w:rPr>
              <w:t xml:space="preserve">2. 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w:t>
            </w:r>
            <w:r>
              <w:rPr>
                <w:rFonts w:eastAsia="Times New Roman" w:cs="Times New Roman" w:ascii="Times New Roman" w:hAnsi="Times New Roman"/>
                <w:i/>
                <w:iCs/>
                <w:kern w:val="0"/>
                <w:sz w:val="24"/>
                <w:szCs w:val="24"/>
                <w:lang w:val="en-US" w:eastAsia="pl-PL" w:bidi="ar-SA"/>
              </w:rPr>
              <w:t>OJ L 327, 9.12.2017</w:t>
            </w:r>
          </w:p>
          <w:p>
            <w:pPr>
              <w:pStyle w:val="Normal"/>
              <w:widowControl/>
              <w:spacing w:lineRule="auto" w:line="240" w:beforeAutospacing="1" w:afterAutospacing="1"/>
              <w:jc w:val="left"/>
              <w:rPr>
                <w:rFonts w:ascii="Times New Roman" w:hAnsi="Times New Roman" w:eastAsia="Times New Roman" w:cs="Times New Roman"/>
                <w:sz w:val="24"/>
                <w:szCs w:val="24"/>
                <w:lang w:val="en-US" w:eastAsia="pl-PL"/>
              </w:rPr>
            </w:pPr>
            <w:r>
              <w:rPr>
                <w:rFonts w:eastAsia="Times New Roman" w:cs="Times New Roman" w:ascii="Times New Roman" w:hAnsi="Times New Roman"/>
                <w:kern w:val="0"/>
                <w:sz w:val="24"/>
                <w:szCs w:val="24"/>
                <w:lang w:val="en-US" w:eastAsia="pl-PL" w:bidi="ar-SA"/>
              </w:rPr>
              <w:t xml:space="preserve">3. Regulation (EU) 2018/1240 of the European Parliament and of the Council of 12 September 2018 establishing a European Travel Information and Authorisation System (ETIAS) and amending Regulations (EU) No 1077/2011, (EU) No 515/2014, (EU) 2016/399, (EU) 2016/1624 and (EU) 2017/2226, </w:t>
            </w:r>
            <w:r>
              <w:rPr>
                <w:rFonts w:eastAsia="Times New Roman" w:cs="Times New Roman" w:ascii="Times New Roman" w:hAnsi="Times New Roman"/>
                <w:i/>
                <w:iCs/>
                <w:kern w:val="0"/>
                <w:sz w:val="24"/>
                <w:szCs w:val="24"/>
                <w:lang w:val="en-US" w:eastAsia="pl-PL" w:bidi="ar-SA"/>
              </w:rPr>
              <w:t>OJ L 236, 19.9.2018.</w:t>
            </w:r>
          </w:p>
          <w:p>
            <w:pPr>
              <w:pStyle w:val="Nagwek2"/>
              <w:widowControl/>
              <w:spacing w:lineRule="auto" w:line="240"/>
              <w:jc w:val="left"/>
              <w:rPr>
                <w:rFonts w:ascii="Times New Roman" w:hAnsi="Times New Roman" w:eastAsia="Times New Roman" w:cs="Times New Roman"/>
                <w:i/>
                <w:i/>
                <w:iCs/>
                <w:color w:val="auto"/>
                <w:sz w:val="24"/>
                <w:szCs w:val="24"/>
                <w:lang w:val="en-US" w:eastAsia="pl-PL"/>
              </w:rPr>
            </w:pPr>
            <w:r>
              <w:rPr>
                <w:rFonts w:cs="Times New Roman" w:ascii="Times New Roman" w:hAnsi="Times New Roman"/>
                <w:color w:val="auto"/>
                <w:kern w:val="0"/>
                <w:sz w:val="24"/>
                <w:szCs w:val="24"/>
                <w:lang w:val="en-GB" w:eastAsia="en-US" w:bidi="ar-SA"/>
              </w:rPr>
              <w:t xml:space="preserve"> </w:t>
            </w:r>
            <w:r>
              <w:rPr>
                <w:rFonts w:cs="Times New Roman" w:ascii="Times New Roman" w:hAnsi="Times New Roman"/>
                <w:color w:val="auto"/>
                <w:kern w:val="0"/>
                <w:sz w:val="24"/>
                <w:szCs w:val="24"/>
                <w:lang w:val="en-GB" w:eastAsia="en-US" w:bidi="ar-SA"/>
              </w:rPr>
              <w:t xml:space="preserve">4. </w:t>
            </w:r>
            <w:hyperlink r:id="rId2">
              <w:bookmarkStart w:id="0" w:name="https%3A%2F%2Feur-lex.europa.eu%2Flegal-"/>
              <w:r>
                <w:rPr>
                  <w:rFonts w:eastAsia="Times New Roman" w:cs="Times New Roman" w:ascii="Times New Roman" w:hAnsi="Times New Roman"/>
                  <w:bCs/>
                  <w:color w:val="auto"/>
                  <w:kern w:val="0"/>
                  <w:sz w:val="24"/>
                  <w:szCs w:val="24"/>
                  <w:lang w:val="en-US" w:eastAsia="pl-PL" w:bidi="ar-SA"/>
                </w:rPr>
                <w:t>Regulation (EU) 2019/817 of the European Parliament and of the Council of 20 May 2019 on establishing a framework for interoperability between EU information systems in the field of borders and visa and amending Regulations (EC) No 767/2008, (EU) 2016/399, (EU) 2017/2226, (EU) 2018/1240, (EU) 2018/1726 and (EU) 2018/1861 of the European Parliament and of the Council and Council Decisions 2004/512/EC and 2008/633/JHA</w:t>
              </w:r>
            </w:hyperlink>
            <w:bookmarkEnd w:id="0"/>
            <w:r>
              <w:rPr>
                <w:rFonts w:eastAsia="Times New Roman" w:cs="Times New Roman" w:ascii="Times New Roman" w:hAnsi="Times New Roman"/>
                <w:bCs/>
                <w:color w:val="auto"/>
                <w:kern w:val="0"/>
                <w:sz w:val="24"/>
                <w:szCs w:val="24"/>
                <w:lang w:val="en-US" w:eastAsia="pl-PL" w:bidi="ar-SA"/>
              </w:rPr>
              <w:t xml:space="preserve">, </w:t>
            </w:r>
            <w:r>
              <w:rPr>
                <w:rFonts w:eastAsia="Times New Roman" w:cs="Times New Roman" w:ascii="Times New Roman" w:hAnsi="Times New Roman"/>
                <w:i/>
                <w:iCs/>
                <w:color w:val="auto"/>
                <w:kern w:val="0"/>
                <w:sz w:val="24"/>
                <w:szCs w:val="24"/>
                <w:lang w:val="en-US" w:eastAsia="pl-PL" w:bidi="ar-SA"/>
              </w:rPr>
              <w:t>OJ L 135, 22.5.2019.</w:t>
            </w:r>
          </w:p>
          <w:p>
            <w:pPr>
              <w:pStyle w:val="Normal"/>
              <w:widowControl/>
              <w:spacing w:lineRule="auto" w:line="240" w:before="0" w:after="0"/>
              <w:jc w:val="left"/>
              <w:rPr>
                <w:rFonts w:ascii="Times New Roman" w:hAnsi="Times New Roman" w:cs="Times New Roman"/>
                <w:sz w:val="24"/>
                <w:szCs w:val="24"/>
                <w:lang w:val="en-US" w:eastAsia="pl-PL"/>
              </w:rPr>
            </w:pPr>
            <w:r>
              <w:rPr>
                <w:rFonts w:eastAsia="Calibri" w:cs="Times New Roman" w:ascii="Times New Roman" w:hAnsi="Times New Roman"/>
                <w:kern w:val="0"/>
                <w:sz w:val="24"/>
                <w:szCs w:val="24"/>
                <w:lang w:val="en-US" w:eastAsia="pl-PL" w:bidi="ar-SA"/>
              </w:rPr>
            </w:r>
          </w:p>
          <w:p>
            <w:pPr>
              <w:pStyle w:val="Normal"/>
              <w:widowControl/>
              <w:spacing w:lineRule="auto" w:line="240" w:before="0" w:after="0"/>
              <w:jc w:val="left"/>
              <w:rPr>
                <w:rFonts w:ascii="Times New Roman" w:hAnsi="Times New Roman" w:cs="Times New Roman"/>
                <w:sz w:val="24"/>
                <w:szCs w:val="24"/>
                <w:lang w:val="en-US" w:eastAsia="pl-PL"/>
              </w:rPr>
            </w:pPr>
            <w:r>
              <w:rPr>
                <w:rFonts w:eastAsia="Calibri" w:cs="Times New Roman" w:ascii="Times New Roman" w:hAnsi="Times New Roman"/>
                <w:kern w:val="0"/>
                <w:sz w:val="24"/>
                <w:szCs w:val="24"/>
                <w:lang w:val="en-US" w:eastAsia="pl-PL" w:bidi="ar-SA"/>
              </w:rPr>
              <w:t xml:space="preserve">5. </w:t>
            </w:r>
            <w:r>
              <w:rPr>
                <w:rFonts w:eastAsia="Calibri" w:cs="Times New Roman" w:ascii="Times New Roman" w:hAnsi="Times New Roman"/>
                <w:kern w:val="0"/>
                <w:sz w:val="24"/>
                <w:szCs w:val="24"/>
                <w:lang w:val="en-US" w:eastAsia="en-US" w:bidi="ar-SA"/>
              </w:rPr>
              <w:t xml:space="preserve">M. Cesarz, </w:t>
            </w:r>
            <w:r>
              <w:rPr>
                <w:rFonts w:eastAsia="Calibri" w:cs="Times New Roman" w:ascii="Times New Roman" w:hAnsi="Times New Roman"/>
                <w:i/>
                <w:iCs/>
                <w:kern w:val="0"/>
                <w:sz w:val="24"/>
                <w:szCs w:val="24"/>
                <w:lang w:val="en-US" w:eastAsia="en-US" w:bidi="ar-SA"/>
              </w:rPr>
              <w:t xml:space="preserve">A new type of EU visa? The legal nature of a travelpermit issued under the European Travel Information and Authorization System (ETIAS), </w:t>
            </w:r>
            <w:r>
              <w:rPr>
                <w:rFonts w:eastAsia="Calibri" w:cs="Times New Roman" w:ascii="Times New Roman" w:hAnsi="Times New Roman"/>
                <w:kern w:val="0"/>
                <w:sz w:val="24"/>
                <w:szCs w:val="24"/>
                <w:lang w:val="en-US" w:eastAsia="en-US" w:bidi="ar-SA"/>
              </w:rPr>
              <w:t xml:space="preserve">Studia Prawnicze KUL 4/2021. </w:t>
            </w:r>
          </w:p>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r>
          </w:p>
        </w:tc>
      </w:tr>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kern w:val="0"/>
                <w:sz w:val="24"/>
                <w:szCs w:val="24"/>
                <w:lang w:val="en-GB" w:eastAsia="en-US" w:bidi="ar-SA"/>
              </w:rPr>
              <w:t>Additional literature</w:t>
            </w:r>
          </w:p>
        </w:tc>
      </w:tr>
      <w:tr>
        <w:trPr/>
        <w:tc>
          <w:tcPr>
            <w:tcW w:w="9062" w:type="dxa"/>
            <w:tcBorders/>
          </w:tcPr>
          <w:p>
            <w:pPr>
              <w:pStyle w:val="Normal"/>
              <w:widowControl/>
              <w:spacing w:lineRule="auto" w:line="240" w:before="0" w:after="0"/>
              <w:jc w:val="left"/>
              <w:rPr>
                <w:rFonts w:ascii="Times New Roman" w:hAnsi="Times New Roman" w:cs="Times New Roman"/>
                <w:sz w:val="24"/>
                <w:szCs w:val="24"/>
                <w:lang w:val="en-GB"/>
              </w:rPr>
            </w:pPr>
            <w:r>
              <w:rPr>
                <w:rFonts w:eastAsia="Calibri" w:cs="Times New Roman" w:ascii="Times New Roman" w:hAnsi="Times New Roman"/>
                <w:i/>
                <w:kern w:val="0"/>
                <w:sz w:val="24"/>
                <w:szCs w:val="24"/>
                <w:lang w:val="en-US" w:eastAsia="en-US" w:bidi="ar-SA"/>
              </w:rPr>
              <w:t>Crossing EU borders in the next 15 years</w:t>
            </w:r>
            <w:r>
              <w:rPr>
                <w:rFonts w:eastAsia="Calibri" w:cs="Times New Roman" w:ascii="Times New Roman" w:hAnsi="Times New Roman"/>
                <w:kern w:val="0"/>
                <w:sz w:val="24"/>
                <w:szCs w:val="24"/>
                <w:lang w:val="en-US" w:eastAsia="en-US" w:bidi="ar-SA"/>
              </w:rPr>
              <w:t xml:space="preserve">, The International Centre for Migration Policy Development (ICMPD). </w:t>
            </w:r>
          </w:p>
        </w:tc>
      </w:tr>
    </w:tbl>
    <w:p>
      <w:pPr>
        <w:pStyle w:val="Normal"/>
        <w:spacing w:before="0" w:after="0"/>
        <w:rPr>
          <w:rFonts w:ascii="Times New Roman" w:hAnsi="Times New Roman" w:cs="Times New Roman"/>
          <w:b/>
          <w:sz w:val="24"/>
          <w:szCs w:val="24"/>
          <w:lang w:val="en-GB"/>
        </w:rPr>
      </w:pPr>
      <w:r>
        <w:rPr>
          <w:rFonts w:cs="Times New Roman" w:ascii="Times New Roman" w:hAnsi="Times New Roman"/>
          <w:b/>
          <w:sz w:val="24"/>
          <w:szCs w:val="24"/>
          <w:lang w:val="en-GB"/>
        </w:rPr>
      </w:r>
    </w:p>
    <w:p>
      <w:pPr>
        <w:pStyle w:val="Normal"/>
        <w:spacing w:before="0" w:after="200"/>
        <w:rPr>
          <w:rFonts w:ascii="Times New Roman" w:hAnsi="Times New Roman" w:cs="Times New Roman"/>
          <w:sz w:val="24"/>
          <w:szCs w:val="24"/>
          <w:lang w:val="en-GB"/>
        </w:rPr>
      </w:pPr>
      <w:r>
        <w:rPr>
          <w:rFonts w:cs="Times New Roman" w:ascii="Times New Roman" w:hAnsi="Times New Roman"/>
          <w:sz w:val="24"/>
          <w:szCs w:val="24"/>
          <w:lang w:val="en-GB"/>
        </w:rPr>
      </w:r>
    </w:p>
    <w:sectPr>
      <w:headerReference w:type="default" r:id="rId3"/>
      <w:type w:val="nextPage"/>
      <w:pgSz w:w="11906" w:h="16838"/>
      <w:pgMar w:left="1417" w:right="1417" w:gutter="0" w:header="708"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Times-Bold">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jc w:val="right"/>
      <w:rPr>
        <w:i/>
        <w:i/>
        <w:lang w:val="en-GB"/>
      </w:rPr>
    </w:pPr>
    <w:r>
      <w:rPr>
        <w:rFonts w:eastAsia="Times New Roman" w:cs="Calibri"/>
        <w:i/>
        <w:iCs/>
        <w:color w:val="000000"/>
        <w:lang w:val="en-GB" w:eastAsia="en-GB"/>
      </w:rPr>
      <w:t>annex 5 to programme documentation</w:t>
    </w:r>
  </w:p>
  <w:p>
    <w:pPr>
      <w:pStyle w:val="Gwka"/>
      <w:rPr>
        <w:lang w:val="en-GB"/>
      </w:rPr>
    </w:pPr>
    <w:r>
      <w:rPr>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2d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2">
    <w:name w:val="Heading 2"/>
    <w:basedOn w:val="Normal"/>
    <w:next w:val="Normal"/>
    <w:link w:val="Nagwek2Znak"/>
    <w:uiPriority w:val="9"/>
    <w:unhideWhenUsed/>
    <w:qFormat/>
    <w:rsid w:val="00be4fb3"/>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character" w:styleId="DefaultParagraphFont" w:default="1">
    <w:name w:val="Default Paragraph Font"/>
    <w:uiPriority w:val="1"/>
    <w:semiHidden/>
    <w:unhideWhenUsed/>
    <w:qFormat/>
    <w:rPr/>
  </w:style>
  <w:style w:type="character" w:styleId="Tabulatory" w:customStyle="1">
    <w:name w:val="tabulatory"/>
    <w:basedOn w:val="DefaultParagraphFont"/>
    <w:qFormat/>
    <w:rsid w:val="00d406f6"/>
    <w:rPr/>
  </w:style>
  <w:style w:type="character" w:styleId="Czeinternetowe">
    <w:name w:val="Hyperlink"/>
    <w:basedOn w:val="DefaultParagraphFont"/>
    <w:uiPriority w:val="99"/>
    <w:unhideWhenUsed/>
    <w:rsid w:val="00d406f6"/>
    <w:rPr>
      <w:color w:val="0000FF"/>
      <w:u w:val="single"/>
    </w:rPr>
  </w:style>
  <w:style w:type="character" w:styleId="Access" w:customStyle="1">
    <w:name w:val="access"/>
    <w:basedOn w:val="DefaultParagraphFont"/>
    <w:qFormat/>
    <w:rsid w:val="003c65da"/>
    <w:rPr/>
  </w:style>
  <w:style w:type="character" w:styleId="Luchili" w:customStyle="1">
    <w:name w:val="luc_hili"/>
    <w:basedOn w:val="DefaultParagraphFont"/>
    <w:qFormat/>
    <w:rsid w:val="001a5d37"/>
    <w:rPr/>
  </w:style>
  <w:style w:type="character" w:styleId="NagwekZnak" w:customStyle="1">
    <w:name w:val="Nagłówek Znak"/>
    <w:basedOn w:val="DefaultParagraphFont"/>
    <w:uiPriority w:val="99"/>
    <w:qFormat/>
    <w:rsid w:val="00b04272"/>
    <w:rPr/>
  </w:style>
  <w:style w:type="character" w:styleId="StopkaZnak" w:customStyle="1">
    <w:name w:val="Stopka Znak"/>
    <w:basedOn w:val="DefaultParagraphFont"/>
    <w:uiPriority w:val="99"/>
    <w:qFormat/>
    <w:rsid w:val="00b04272"/>
    <w:rPr/>
  </w:style>
  <w:style w:type="character" w:styleId="TekstdymkaZnak" w:customStyle="1">
    <w:name w:val="Tekst dymka Znak"/>
    <w:basedOn w:val="DefaultParagraphFont"/>
    <w:link w:val="BalloonText"/>
    <w:uiPriority w:val="99"/>
    <w:semiHidden/>
    <w:qFormat/>
    <w:rsid w:val="00b04272"/>
    <w:rPr>
      <w:rFonts w:ascii="Tahoma" w:hAnsi="Tahoma" w:cs="Tahoma"/>
      <w:sz w:val="16"/>
      <w:szCs w:val="16"/>
    </w:rPr>
  </w:style>
  <w:style w:type="character" w:styleId="Fontstyle01" w:customStyle="1">
    <w:name w:val="fontstyle01"/>
    <w:basedOn w:val="DefaultParagraphFont"/>
    <w:qFormat/>
    <w:rsid w:val="00d909a0"/>
    <w:rPr>
      <w:rFonts w:ascii="Times-Bold" w:hAnsi="Times-Bold"/>
      <w:b/>
      <w:bCs/>
      <w:i w:val="false"/>
      <w:iCs w:val="false"/>
      <w:color w:val="000000"/>
      <w:sz w:val="22"/>
      <w:szCs w:val="22"/>
    </w:rPr>
  </w:style>
  <w:style w:type="character" w:styleId="Nagwek2Znak" w:customStyle="1">
    <w:name w:val="Nagłówek 2 Znak"/>
    <w:basedOn w:val="DefaultParagraphFont"/>
    <w:uiPriority w:val="9"/>
    <w:qFormat/>
    <w:rsid w:val="00be4fb3"/>
    <w:rPr>
      <w:rFonts w:ascii="Cambria" w:hAnsi="Cambria" w:eastAsia="" w:cs="" w:asciiTheme="majorHAnsi" w:cstheme="majorBidi" w:eastAsiaTheme="majorEastAsia" w:hAnsiTheme="majorHAnsi"/>
      <w:color w:val="365F91" w:themeColor="accent1" w:themeShade="bf"/>
      <w:sz w:val="26"/>
      <w:szCs w:val="26"/>
    </w:rPr>
  </w:style>
  <w:style w:type="character" w:styleId="Wyrnienie">
    <w:name w:val="Emphasis"/>
    <w:basedOn w:val="DefaultParagraphFont"/>
    <w:uiPriority w:val="20"/>
    <w:qFormat/>
    <w:rsid w:val="00641386"/>
    <w:rPr>
      <w:i/>
      <w:i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Western" w:customStyle="1">
    <w:name w:val="western"/>
    <w:basedOn w:val="Normal"/>
    <w:qFormat/>
    <w:rsid w:val="007d0038"/>
    <w:pPr>
      <w:spacing w:lineRule="atLeast" w:line="102" w:beforeAutospacing="1" w:after="119"/>
    </w:pPr>
    <w:rPr>
      <w:rFonts w:ascii="Times New Roman" w:hAnsi="Times New Roman" w:eastAsia="Times New Roman" w:cs="Times New Roman"/>
      <w:color w:val="000000"/>
      <w:sz w:val="24"/>
      <w:szCs w:val="24"/>
      <w:lang w:eastAsia="pl-PL"/>
    </w:rPr>
  </w:style>
  <w:style w:type="paragraph" w:styleId="ListParagraph">
    <w:name w:val="List Paragraph"/>
    <w:basedOn w:val="Normal"/>
    <w:uiPriority w:val="34"/>
    <w:qFormat/>
    <w:rsid w:val="007d0038"/>
    <w:pPr>
      <w:spacing w:before="0" w:after="200"/>
      <w:ind w:left="720" w:hanging="0"/>
      <w:contextualSpacing/>
    </w:pPr>
    <w:rPr/>
  </w:style>
  <w:style w:type="paragraph" w:styleId="NormalWeb">
    <w:name w:val="Normal (Web)"/>
    <w:basedOn w:val="Normal"/>
    <w:uiPriority w:val="99"/>
    <w:semiHidden/>
    <w:unhideWhenUsed/>
    <w:qFormat/>
    <w:rsid w:val="00d27ddc"/>
    <w:pPr>
      <w:spacing w:lineRule="auto" w:line="240" w:beforeAutospacing="1" w:after="119"/>
    </w:pPr>
    <w:rPr>
      <w:rFonts w:ascii="Times New Roman" w:hAnsi="Times New Roman" w:eastAsia="Times New Roman" w:cs="Times New Roman"/>
      <w:sz w:val="24"/>
      <w:szCs w:val="24"/>
      <w:lang w:eastAsia="pl-PL"/>
    </w:rPr>
  </w:style>
  <w:style w:type="paragraph" w:styleId="Default" w:customStyle="1">
    <w:name w:val="Default"/>
    <w:qFormat/>
    <w:rsid w:val="007841b3"/>
    <w:pPr>
      <w:widowControl/>
      <w:bidi w:val="0"/>
      <w:spacing w:lineRule="auto" w:line="240" w:before="0" w:after="0"/>
      <w:jc w:val="left"/>
    </w:pPr>
    <w:rPr>
      <w:rFonts w:ascii="Arial" w:hAnsi="Arial" w:cs="Arial" w:eastAsia="Calibri"/>
      <w:color w:val="000000"/>
      <w:kern w:val="0"/>
      <w:sz w:val="24"/>
      <w:szCs w:val="24"/>
      <w:lang w:val="pl-PL" w:eastAsia="en-US" w:bidi="ar-SA"/>
    </w:rPr>
  </w:style>
  <w:style w:type="paragraph" w:styleId="Gwkaistopka">
    <w:name w:val="Główka i stopka"/>
    <w:basedOn w:val="Normal"/>
    <w:qFormat/>
    <w:pPr/>
    <w:rPr/>
  </w:style>
  <w:style w:type="paragraph" w:styleId="Gwka">
    <w:name w:val="Header"/>
    <w:basedOn w:val="Normal"/>
    <w:link w:val="NagwekZnak"/>
    <w:uiPriority w:val="99"/>
    <w:unhideWhenUsed/>
    <w:rsid w:val="00b04272"/>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b04272"/>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b04272"/>
    <w:pPr>
      <w:spacing w:lineRule="auto" w:line="240" w:before="0" w:after="0"/>
    </w:pPr>
    <w:rPr>
      <w:rFonts w:ascii="Tahoma" w:hAnsi="Tahoma" w:cs="Tahoma"/>
      <w:sz w:val="16"/>
      <w:szCs w:val="16"/>
    </w:rPr>
  </w:style>
  <w:style w:type="paragraph" w:styleId="Title-bold" w:customStyle="1">
    <w:name w:val="title-bold"/>
    <w:basedOn w:val="Normal"/>
    <w:qFormat/>
    <w:rsid w:val="00641386"/>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732e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ur-lex.europa.eu/legal-content/AUTO/?uri=CELEX:32019R0817&amp;qid=1577972772525&amp;rid=1"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BC58-AD82-485E-BA6B-FCE4F193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Application>LibreOffice/7.5.6.2$Windows_X86_64 LibreOffice_project/f654817fb68d6d4600d7d2f6b647e47729f55f15</Application>
  <AppVersion>15.0000</AppVersion>
  <Pages>4</Pages>
  <Words>817</Words>
  <Characters>4732</Characters>
  <CharactersWithSpaces>5416</CharactersWithSpaces>
  <Paragraphs>130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2019-12-23T00:00:00Z</dcterms:created>
  <dc:creator>Anna Łukasiewicz</dc:creator>
  <dc:description/>
  <dc:language>pl-PL</dc:language>
  <cp:lastModifiedBy/>
  <cp:lastPrinted>2019-01-23T11:10:00Z</cp:lastPrinted>
  <dcterms:modified xsi:type="dcterms:W3CDTF">2025-02-12T09:56:05Z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