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  <w:t>KARTA PRZEDMIOTU r. ak. 2024/2025</w:t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Międzynarodowe finanse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International finance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stopień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stacjonarne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dr Jarosław Kuśpit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  <w:t>Znajomość języka polskiego na poziomie komunikatywnym (A2). Rozumienie podstawowych pojęć związanych z finansami. Zaliczenie przedmiotów Przedsiębiorczość i Integracja europejska Gotowość do uczenia się.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Przekazanie wiedzy w zakresie zasad funkcjonowania międzynarodowych rynków finansowych.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Nabycie praktycznych umiejętności w zakresie obliczania i interpretacji zmian kursu walutowego.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Umiejętność wykorzystania w praktyce dostępnych metod ograniczania ryzyka kursowego.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3"/>
        <w:gridCol w:w="2137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Posiada wiedzę na temat uwarunkowań ekonomicznych, politycznych i instytucjonalnych wpływających na funkcjonowanie międzynarodowych rynków finansowych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 i rozumie pojęcia dotyczące problematyki kursu walutowego i ryzyka kursowego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wyróżnić czynniki określające kurs walutowy i prawidłowo interpretować ich wpływ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wykorzystywać wiedzę teoretyczną do proponowania sposobów ograniczania skutków ryzyka kursowego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Pojęcie i rodzaje kursów walutowych. Systemy kursowe wg. MFW.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Charakterystyka czynników określających wysokość kursu walutowego.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Ekonomiczne konsekwencje zmian kursu walutowego.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Ewolucja międzynarodowego systemu walutowego.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Główne międzynarodowe instytucje finansowe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Międzynarodowy rynek walutowy - uczestnicy i realizowane transakcje.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Pojęcie i rodzaje ryzyka kursowego.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Strategie i metody sterowania ryzykiem kursowym.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Wykorzystanie transakcji walutowych do zabezpieczania przed ryzykiem.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Charakter i instrumenty międzynarodowego rynku pieniężnego.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Instrumenty międzynarodowego rynku kapitałowego.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Współczesne tendencje na międzynarodowym rynku finansowym. </w:t>
            </w:r>
          </w:p>
        </w:tc>
      </w:tr>
    </w:tbl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2"/>
        <w:gridCol w:w="2541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Wykład konwencjonalny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 z egzaminu wraz z kartą odpowiedzi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konwencjonalny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Obserwacja aktywności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Protokół z egzaminu wraz z kartą odpowiedzi /Raport z obserwacji 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Wykład konwencjonalny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 z egzaminu wraz z kartą odpowiedzi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konwencjonalny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Obserwacja aktywności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 z egzaminu wraz z kartą odpowiedzi/ Raport z obserwacji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  <w:t>Zgromadzenie odpowiedniej liczby punktów w 2 zakresach:</w:t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  <w:t>1. Aktywne uczestnictwo w zajęciach: 20 % (10 punktów)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1267" w:hanging="36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" w:eastAsiaTheme="minorEastAsia"/>
          <w:b/>
          <w:bCs/>
          <w:color w:val="000000" w:themeColor="text1"/>
          <w:kern w:val="2"/>
          <w:lang w:eastAsia="pl-PL"/>
        </w:rPr>
        <w:t>Systematyczność w uczęszczaniu na zajęcia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1267" w:hanging="36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" w:eastAsiaTheme="minorEastAsia"/>
          <w:b/>
          <w:bCs/>
          <w:color w:val="000000" w:themeColor="text1"/>
          <w:kern w:val="2"/>
          <w:lang w:eastAsia="pl-PL"/>
        </w:rPr>
        <w:t>Zabieranie głosu w dyskusji</w:t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  <w:t>2. Wynik zaliczenia pisemnego w formie testu wielokrotnego wyboru: 80 %. (40 punktów)</w:t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  <w:t>Łączna minimalna liczba pkt. wymagana do zaliczenia przedmiotu: 50 % ogólnej punktacji (25 punktów)</w:t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  <w:t>Ocena końcowa z przedmiotu wynika ze zgromadzonej przez studentów odpowiedniej liczby punktów z zaliczenia pisemnego w formie testu wielokrotnego wyboru i oceny aktywności na zajęciach: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267" w:hanging="360"/>
        <w:contextualSpacing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" w:eastAsiaTheme="minorEastAsia"/>
          <w:b/>
          <w:bCs/>
          <w:color w:val="000000" w:themeColor="text1"/>
          <w:kern w:val="2"/>
          <w:lang w:eastAsia="pl-PL"/>
        </w:rPr>
        <w:t>Dostateczny</w:t>
      </w:r>
      <w:r>
        <w:rPr>
          <w:rFonts w:eastAsia="" w:eastAsiaTheme="minorEastAsia"/>
          <w:b/>
          <w:color w:val="000000" w:themeColor="text1"/>
          <w:kern w:val="2"/>
          <w:lang w:eastAsia="pl-PL"/>
        </w:rPr>
        <w:t xml:space="preserve">    50 - 60% punktów możliwych do uzyskania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267" w:hanging="360"/>
        <w:contextualSpacing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" w:eastAsiaTheme="minorEastAsia"/>
          <w:b/>
          <w:color w:val="000000" w:themeColor="text1"/>
          <w:kern w:val="2"/>
          <w:lang w:eastAsia="pl-PL"/>
        </w:rPr>
        <w:t>Dostateczny plus  61 – 70% punktów możliwych do uzyskania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267" w:hanging="360"/>
        <w:contextualSpacing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" w:eastAsiaTheme="minorEastAsia"/>
          <w:b/>
          <w:color w:val="000000" w:themeColor="text1"/>
          <w:kern w:val="2"/>
          <w:lang w:eastAsia="pl-PL"/>
        </w:rPr>
        <w:t>Dobry     71 – 80% punktów możliwych do uzyskania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267" w:hanging="360"/>
        <w:contextualSpacing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" w:eastAsiaTheme="minorEastAsia"/>
          <w:b/>
          <w:color w:val="000000" w:themeColor="text1"/>
          <w:kern w:val="2"/>
          <w:lang w:eastAsia="pl-PL"/>
        </w:rPr>
        <w:t>Dobry plus   81 – 90% punktów możliwych do uzyskania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267" w:hanging="360"/>
        <w:contextualSpacing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" w:eastAsiaTheme="minorEastAsia"/>
          <w:b/>
          <w:color w:val="000000" w:themeColor="text1"/>
          <w:kern w:val="2"/>
          <w:lang w:eastAsia="pl-PL"/>
        </w:rPr>
        <w:t>Bardzo dobry   91 – 100% punktów możliwych do uzyskania</w:t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 </w:t>
            </w: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30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60 godzin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M.Proczek, A.Kłos, E.Latoszek (red),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 Finanse międzynarodowe. Kompendium wiedzy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Warszawa: SGH 2021.</w:t>
            </w:r>
            <w:bookmarkStart w:id="0" w:name="_GoBack"/>
            <w:bookmarkEnd w:id="0"/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M. Markiewicz, U. Mrzygłód, Finanse międzynarodowe, PWE, Warszawa 2015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E. Najlepszy, Finanse międzynarodowe przedsiębiorstw, PWE, Warszawa 2013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B. Bernaś red., Finanse międzynarodowe, PWN, Warszawa 2011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A. Oleksiuk, Międzynarodowe rynki finansowe i centra światowych finansów, Difin, Warszawa 2017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J. Maliszewski, Zarządzanie ryzykiem kursu walutowego w przedsiębiorstwie. Poradnik praktyczny, Linia, Warszawa 2013.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J.B. Osoba, Ekonomia i finanse międzynarodowe, Difin, Warszawa 2014.</w:t>
            </w:r>
          </w:p>
        </w:tc>
      </w:tr>
    </w:tbl>
    <w:p>
      <w:pPr>
        <w:pStyle w:val="Normal"/>
        <w:spacing w:before="0" w:after="200"/>
        <w:rPr>
          <w:rFonts w:cs="Calibri" w:cstheme="minorHAnsi"/>
        </w:rPr>
      </w:pPr>
      <w:r>
        <w:rPr>
          <w:rFonts w:cs="Calibri" w:cstheme="minorHAnsi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Apple-tab-span" w:customStyle="1">
    <w:name w:val="apple-tab-span"/>
    <w:basedOn w:val="DefaultParagraphFont"/>
    <w:qFormat/>
    <w:rsid w:val="00e23a1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A35CB97F65640BD1CC9E41C09B43D" ma:contentTypeVersion="3" ma:contentTypeDescription="Utwórz nowy dokument." ma:contentTypeScope="" ma:versionID="e16abf7e5a4a1e01d557d1222aecff15">
  <xsd:schema xmlns:xsd="http://www.w3.org/2001/XMLSchema" xmlns:xs="http://www.w3.org/2001/XMLSchema" xmlns:p="http://schemas.microsoft.com/office/2006/metadata/properties" xmlns:ns2="7c5ed13d-7f1c-47ba-a655-78aa15ac174d" targetNamespace="http://schemas.microsoft.com/office/2006/metadata/properties" ma:root="true" ma:fieldsID="a6fe9bc1df61ca7fd0599ae254ae748a" ns2:_="">
    <xsd:import namespace="7c5ed13d-7f1c-47ba-a655-78aa15ac1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ed13d-7f1c-47ba-a655-78aa15ac1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A3F7-9B86-42DA-A5A8-986FEF095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E5010-788E-4921-859D-7B9034B78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ed13d-7f1c-47ba-a655-78aa15ac1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924C1-F55B-4881-B03A-F5A314F07A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5ed13d-7f1c-47ba-a655-78aa15ac174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760922-1298-4B0B-AC40-A2920E7D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LibreOffice/7.5.6.2$Windows_X86_64 LibreOffice_project/f654817fb68d6d4600d7d2f6b647e47729f55f15</Application>
  <AppVersion>15.0000</AppVersion>
  <Pages>5</Pages>
  <Words>633</Words>
  <Characters>4367</Characters>
  <CharactersWithSpaces>4868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2024-11-19T10:11:00Z</dcterms:created>
  <dc:creator>Anna Łukasiewicz</dc:creator>
  <dc:description/>
  <dc:language>pl-PL</dc:language>
  <cp:lastModifiedBy/>
  <cp:lastPrinted>2019-01-23T11:10:00Z</cp:lastPrinted>
  <dcterms:modified xsi:type="dcterms:W3CDTF">2025-02-11T10:26:00Z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0x01010029BA35CB97F65640BD1CC9E41C09B43D</vt:lpwstr>
  </property>
</Properties>
</file>