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KARTA PRZEDMIOTU 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podstawowe</w:t>
      </w:r>
    </w:p>
    <w:p>
      <w:pPr>
        <w:pStyle w:val="ListParagraph"/>
        <w:ind w:left="1080"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Zarządzanie ruchem granicznym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Border traffic management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Kierunek studiów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Stosunki międzynarodowe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Nauki o polityce i administracji, prawo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Autospacing="1" w:afterAutospacing="1"/>
              <w:jc w:val="left"/>
              <w:outlineLvl w:val="1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dr Anna Szachoń-Pszenny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Forma zajęć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</w:t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6977"/>
      </w:tblGrid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Wymagania wstępne</w:t>
            </w:r>
          </w:p>
        </w:tc>
        <w:tc>
          <w:tcPr>
            <w:tcW w:w="6977" w:type="dxa"/>
            <w:tcBorders/>
          </w:tcPr>
          <w:tbl>
            <w:tblPr>
              <w:tblW w:w="6761" w:type="dxa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1" w:noVBand="1" w:lastRow="0" w:firstColumn="1" w:lastColumn="0" w:noHBand="0" w:val="04a0"/>
            </w:tblPr>
            <w:tblGrid>
              <w:gridCol w:w="6761"/>
            </w:tblGrid>
            <w:tr>
              <w:trPr/>
              <w:tc>
                <w:tcPr>
                  <w:tcW w:w="6761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</w:r>
                </w:p>
              </w:tc>
            </w:tr>
            <w:tr>
              <w:trPr/>
              <w:tc>
                <w:tcPr>
                  <w:tcW w:w="6761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</w:r>
                </w:p>
                <w:tbl>
                  <w:tblPr>
                    <w:tblW w:w="6731" w:type="dxa"/>
                    <w:jc w:val="left"/>
                    <w:tblInd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6731"/>
                  </w:tblGrid>
                  <w:tr>
                    <w:trPr/>
                    <w:tc>
                      <w:tcPr>
                        <w:tcW w:w="6731" w:type="dxa"/>
                        <w:tcBorders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lineRule="auto" w:line="240" w:before="0" w:after="0"/>
                          <w:jc w:val="both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eastAsia="Times New Roman" w:cs="Times New Roman" w:ascii="Times New Roman" w:hAnsi="Times New Roman"/>
                            <w:sz w:val="24"/>
                            <w:szCs w:val="24"/>
                            <w:lang w:eastAsia="pl-PL"/>
                          </w:rPr>
                          <w:t>Podstawowa wiedza z zakresu bezpieczeństwa, w szczególności ochrony i bezpieczeństwa granic oraz prawa UE.</w:t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pl-PL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C1 wprowadzenie do ogólnej wiedzy na temat prawnych aspektów funkcjonowania ruchu granicznego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C2 osiągnięcie kompetencji krytycznego myślenia w krótkich referatach i analiza tekstu w obszarze zarządzania granicami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C3 rozwijanie umiejętności wykorzystywania zdobytej wiedzy w praktyce</w:t>
            </w:r>
          </w:p>
        </w:tc>
      </w:tr>
    </w:tbl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Efekty uczenia się dla przedmiotu wraz z odniesieniem do efektów kierunkowych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5953"/>
        <w:gridCol w:w="2159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Symbol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Opis efektu przedmiotowego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Absolwent posiada wiedzę interdyscyplinarną z obszaru nauk społecznych, w tym szczególnie z zakresu nauk o bezpieczeństwie oraz ich relacji do innych nauk społecznych.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K_W01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Absolwent rozumie istotę oraz uwarunkowania bezpieczeństwa państwa zarówno w skali lokalnej, ogólnopaństwowej, jak i międzynarodowej.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K_W02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W_03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Absolwent posiada wiedzę nt. funkcjonowania systemu bezpieczeństwa państwa.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K_W03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W_04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Absolwent posiada wiedzę nt. zmian ustroju państw, systemów politycznych, struktur społecznych i systemów bezpieczeństwa oraz ich przyczyn i skutków w skali międzynarodowej.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K_W07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W_05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Absolwent posiada podstawową wiedzę nt. bezpieczeństwa, globalnego, systemów bezpieczeństwa wybranych państw, a także bezpieczeństwa wewnętrznego i zewnętrznego Unii Europejskiej.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K_W08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Absolwent potrafi wykorzystywać zdobytą wiedzę teoretyczną dot. bezpieczeństwa narodowego oraz powiązanych z nim dziedzin wiedzy do analizowania i wyjaśniania kwestii szczegółowych odnoszących się do bezpieczeństwa państwa, ochrony porządku prawnego, integralności terytorialnej państwa oraz ochrony jego interesów ekonomicznych. </w:t>
              <w:br/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K_U01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Absolwent potrafi zarządzać procesami bezpieczeństwa w administracji państwowej i samorządowej, w tym także w warunkach kryzysowych, potrafiąc oceniać przydatność standardowych metod oraz procedur przy realizacji zadań związanych z zapewnieniem szeroko rozumianego bezpieczeństwa publicznego.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K_U02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U_03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Absolwent potrafi wykorzystać wiedzę teoretyczną związaną z naukami o bezpieczeństwie do analizowania zachowań ludzi i społeczeństwa, diagnozowania oraz prognozowania sytuacji mających wpływ na bezpieczeństwo narodowe, a także budować strategie działań dotyczących bezpieczeństwa narodowego w różnych obszarach życia państwa.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K_U03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posiada wiedzę w zakresie bezpieczeństwa, która może być wykorzystana w praktyce związanej z działalnością społeczną, pracą w administracji czy w sferze gospodarczej.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K_K02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potrafi zarządzać procesami bezpieczeństwa w administracji państwowej i samorządowej.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K_K03</w:t>
            </w:r>
          </w:p>
        </w:tc>
      </w:tr>
    </w:tbl>
    <w:p>
      <w:pPr>
        <w:pStyle w:val="ListParagraph"/>
        <w:ind w:left="1080"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1. Czym jest ruch graniczny – definicja i podstawa prawna </w:t>
              <w:br/>
              <w:t xml:space="preserve">2. Początki współpracy granicznej w UE </w:t>
              <w:br/>
              <w:t xml:space="preserve">3. Ruch graniczny na granicach zewnętrznych i wewnętrznych </w:t>
              <w:br/>
              <w:t xml:space="preserve">4. Strefa Schengen – wpływ na ruch graniczny w UE, rozszerzenie strefy Schengen 2007-2024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~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br/>
              <w:t xml:space="preserve">5. Aspekt osobowy i towarowy ruchu granicznego </w:t>
              <w:br/>
              <w:t xml:space="preserve">6. PWBiS i rynek wewnętrzny – współzależności </w:t>
              <w:br/>
              <w:t xml:space="preserve">7. Reforma Kodeksu granicznego Schengen – 2021-2024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~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br/>
              <w:t>8. Główna rola FRONTEX-u w operacjach ruchu granicznego – aktualne aspekty</w:t>
              <w:br/>
              <w:t xml:space="preserve">9. Służby graniczne UE i Polski </w:t>
              <w:br/>
              <w:t xml:space="preserve">10. Zintegrowane zarządzanie granicami (EU IBM) - podstawa prawna </w:t>
              <w:br/>
              <w:t xml:space="preserve">11. EU-LISA - Europejska Agencja ds. zarządzania operacyjnego wielkoskalowymi systemami informatycznymi w przestrzeni wolności, bezpieczeństwa i sprawiedliwości </w:t>
              <w:br/>
              <w:t>12. System Informacyjny Schengen II i polskie Biuro SIRENE oraz VIS i Eurodac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13. EES- system wjazdu/wyjazdu i ETIAS - europejski system informacji o podróżach i zezwoleń na podróż – problemy z wdrożeniem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br/>
              <w:t xml:space="preserve">14. Mały ruch graniczny </w:t>
              <w:br/>
              <w:t>15. Przejścia graniczne na przykładzie wschodniej zewnętrznej granicy UE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16.Wieloletnia polityka strategiczna w zakresie EU IBM na lata 2023-2027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17. Warunki techniczne i operacyjne dla EU IBM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18.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Warunki i limity przewozu towarów</w:t>
              <w:br/>
              <w:t>19. Aktualne reformy prawne w zarządzaniu ruchem granicznym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Metody realizacji i weryfikacji efektów uczenia się</w:t>
      </w:r>
    </w:p>
    <w:tbl>
      <w:tblPr>
        <w:tblW w:w="921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2"/>
        <w:gridCol w:w="2691"/>
        <w:gridCol w:w="2835"/>
        <w:gridCol w:w="2581"/>
      </w:tblGrid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Symbol efektu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Metody dydaktyczne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Metody weryfikacji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Sposoby dokumentacji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WIEDZA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Wykład konwencjonalny, konwersatoryjny, problemowy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Wykład konwencjonalny, konwersatoryjny, problemowy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W_03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Wykład konwencjonalny, konwersatoryjny, problemowy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W_04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Wykład konwencjonalny, konwersatoryjny, problemowy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W_05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Wykład konwencjonalny, konwersatoryjny, problemowy, udział w konferencjach naukowych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UMIEJĘTNOŚCI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Dyskusja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Dyskusja,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Burza mózgów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/Zaliczenie pisemne, Wykonanie projektu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pisemny, Raport z obserwacji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Dyskusja,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Burza mózgów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/Zaliczenie pisemne, Wykonanie projektu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pisemny, Raport z obserwacji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KOMPETENCJE SPOŁECZNE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prezentacja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Karta oceny prezentacji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Praca w grupach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referat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Karta oceny pracy w grupie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Kryteria oceny, uwagi…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Ocena końcowa składa się z 2 komponentów/elementów: ocena z egzaminu ustnego, kolokwium w formie testu pisemnego (80%) oraz aktywność, praca w grupach i obecności (20%). Wartością dodaną oceny będzie również wykonanie prezentacji oraz udział w konferencjach naukowych.</w:t>
        <w:br/>
        <w:t xml:space="preserve">ocena 3,0 (45%) </w:t>
        <w:br/>
        <w:t xml:space="preserve">ocena 3,5 (55%) </w:t>
        <w:br/>
        <w:t xml:space="preserve">ocena 4,0 (65%) </w:t>
        <w:br/>
        <w:t xml:space="preserve">ocena 4,5 (75 %) </w:t>
        <w:br/>
        <w:t>ocena 5,0 (85%)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Obciążenie pracą studenta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30 + 15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50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Literatura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OBOWIĄZKOWE AKTY PRAWNE: • Układ z Schengen • Konwencja Wykonawcza do Układu z Schengen• Kodeks Graniczny Schengen oraz Rozporządzenia: FRONTEX (EASGiP) i eu-LISA • Wieloletnia polityka strategiczna w zakresie EU IBM na lata 2023-2027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Obowiązkowa literatura:• Szachoń-Pszenny A.,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pl-PL" w:eastAsia="pl-PL" w:bidi="ar-SA"/>
              </w:rPr>
              <w:t>Acquis Schengen a granice wewnętrzne i zewnętrzne Unii Europejskiej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, Poznań 2011.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1. A. Kuś (red.), M. Kowerski (red.), S. Dubaj, P. Sawczuk, A. Szachoń-Pszenny, P. Witkowski,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pl-PL" w:eastAsia="pl-PL" w:bidi="ar-SA"/>
              </w:rPr>
              <w:t>Transgraniczny przepływ osób i towarów w Unii Europejskiej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, Zamość-Lublin 2011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2. A. Kuś (red.), E. Krzysztofik, K. Miaskowska-Daszkiewicz, R. Pal, A. Szachoń-Pszenny, T. Sieniow, K. Woch, P. Wojtasik,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pl-PL" w:eastAsia="pl-PL" w:bidi="ar-SA"/>
              </w:rPr>
              <w:t>Prawo materialne Unii Europejskiej w zarysie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, Wydawnictwo KUL, Lublin 2011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3. A. Maksimczuk, L. Sidorowicz,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pl-PL" w:eastAsia="pl-PL" w:bidi="ar-SA"/>
              </w:rPr>
              <w:t>Graniczna obsługa ruchu osobowego i towarowego w Unii Europejskiej (wybrane aspekty)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, Warszawa 2008.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a72bb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"/>
    <w:link w:val="Nagwek3Znak"/>
    <w:uiPriority w:val="9"/>
    <w:qFormat/>
    <w:rsid w:val="00a72bb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Nagwek2Znak" w:customStyle="1">
    <w:name w:val="Nagłówek 2 Znak"/>
    <w:basedOn w:val="DefaultParagraphFont"/>
    <w:uiPriority w:val="9"/>
    <w:qFormat/>
    <w:rsid w:val="00a72bb4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3Znak" w:customStyle="1">
    <w:name w:val="Nagłówek 3 Znak"/>
    <w:basedOn w:val="DefaultParagraphFont"/>
    <w:uiPriority w:val="9"/>
    <w:qFormat/>
    <w:rsid w:val="00a72bb4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2e0d9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F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C2377-5A02-4750-AE87-2C309A94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Application>LibreOffice/7.5.6.2$Windows_X86_64 LibreOffice_project/f654817fb68d6d4600d7d2f6b647e47729f55f15</Application>
  <AppVersion>15.0000</AppVersion>
  <Pages>5</Pages>
  <Words>979</Words>
  <Characters>6609</Characters>
  <CharactersWithSpaces>7401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2019-01-14T10:35:00Z</dcterms:created>
  <dc:creator>Anna Łukasiewicz</dc:creator>
  <dc:description/>
  <dc:language>pl-PL</dc:language>
  <cp:lastModifiedBy/>
  <cp:lastPrinted>2024-02-22T09:36:00Z</cp:lastPrinted>
  <dcterms:modified xsi:type="dcterms:W3CDTF">2025-02-11T11:26:26Z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