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Migracje we współczesnym świecie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Migrations in the modern world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Andrzej Szabaciuk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W1 – Podstawowa wiedza z zakresu kulturoznawstwa </w:t>
              <w:br/>
              <w:t xml:space="preserve">W2 – Podstawowa wiedza z zakresu decydowania politycznego </w:t>
              <w:br/>
              <w:t>W3 – Podstawowa wiedza z zakresu stosunków międzynarodowych i dyplomacji publicznej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– Głównym celem jest zapoznanie absolwenta z wiedzą z zakresu genezy, ewolucji, uwarunkowań i praktyki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migracji międzynarodowych oraz ich definicji i instytucji sprawczych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Istotnym celem jest zapoznanie absolwenta procesami migracyjnymi oraz rolą państwa i organizacji międzynarodowych w ich kształtowaniu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C3 – Absolwent potrafi analizować procesy migracyjne oraz wykazać ich związki ze stosunkami międzynarodowymi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uwarunkowania procesów migracyjnych oraz rolę kultury jako czynnika i zasobu polityki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teorię i praktykę funkcjonowania międzynarodowych instytucji odpowiedzialnych za kształtowanie międzynarodowego reżimu migracyjnego jako elementu dyplomacji i komunikowania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genezę i kierunki ewolucji procesów migracyjnych oraz wpływ na ich kształt dylematów współczesnej cywilizacji (globalizacji, dyplomacji i wojen hybrydowych)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zna i rozumie w sposób pogłębiony rolę kultury jako istotnego źródła norm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etycznych obowiązujących w relacjach międzyludzkich, zwłaszcza w zakresie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posiadaną wiedzę teoretyczną do analizowania i wyjaśniania kwestii szczegółowych odnoszących się do procesów migracyjnych, stanowiących istotny element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wiedzę teoretyczną i kompetencje dotyczące procesów migracyjnych do rozwiazywania problemów związanych z realizacją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prawidłowo oceniać zagrożenia związane z procesami migracyjnymi, zwłaszcza dotyczące konfliktów uwarunkowanych różnicami cywilizacyjnie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jest gotów do wypełniania roli społecznej absolwenta stosunków międzynarodowych, w tym do odpowiedzialności za kształtowanie procesów migracyjnych 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K_K04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tbl>
            <w:tblPr>
              <w:tblW w:w="8846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 w:cs="Calibri" w:cstheme="minorHAnsi"/>
                      <w:b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b/>
                      <w:lang w:eastAsia="pl-PL"/>
                    </w:rPr>
                    <w:t>Nwersatoriumsssssssss</w:t>
                  </w:r>
                  <w:r>
                    <w:rPr/>
                    <w:drawing>
                      <wp:inline distT="0" distB="0" distL="0" distR="0">
                        <wp:extent cx="5593715" cy="1531620"/>
                        <wp:effectExtent l="0" t="0" r="0" b="0"/>
                        <wp:docPr id="1" name="Obraz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3715" cy="1531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cs="Calibri" w:cstheme="minorHAnsi"/>
                      <w:b/>
                      <w:lang w:eastAsia="pl-PL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1"/>
        <w:gridCol w:w="2542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</w:t>
      </w:r>
    </w:p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>
          <w:trHeight w:val="6228" w:hRule="atLeast"/>
        </w:trPr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S. Castles, M.J. Miller,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Migracje we współczesnym świecie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2011.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M. Banaś,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Szwedzka polityka integracyjna wobec imigrantów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Kraków 2010.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Hut,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Polska wobec Polaków w przestrzeni poradzieckiej. Od solidaryzmu etnicznego do obowiązku administracyjnego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Instytut Polityki Społecznej UW, Warszawa 2014.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Szabaciuk,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Znaczenie imigracji zarobkowej z Europy Środkowej do Polski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 2014 r.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Prace Instytutu Europy Środkowej, Lublin 2020, ss. 95.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R.B. Freeman,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Migracje w procesie globalizacji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„Gospodarka Narodowa”, 2007, nr 1.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Polityka migracyjna jako instrument promocji zatrudnienia i ograniczania bezrobocia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P. Kaczmarczyk, M. Okólski, Warszawa 2008.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Szabaciuk,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Polityka Federacji Rosyjskiej wobec mniejszości rosyjskojęzycznej na Łotwie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„Studia Europejskie”, 2015, nr 4.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M. Lesińska,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Polityczna rola diaspór na przykładzie krajów Europy Środkowo-Wschodniej i obszaru postsowieckiego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„Politeja”, 2016, nr 2 (41).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R. Raczyński,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Wpływ migracji międzynarodowych na bezpieczeństwo wewnętrzne państwa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„Bezpieczeństwo. Teoria i Praktyka”, 2015, nr 2.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S. Castles, M.J. Miller,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Migracje we współczesnym świecie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2011.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Wejkszner,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Ewolucja zagrożenia terrorystycznego w Europie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„Przegląd Strategiczny”, 2014, nr 7.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Integracja kulturowa imigrantów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J. Balicki, Warszawa 2007.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J. Plewko,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Warunki integracji imigrantów ze społeczeństwem przyjmującym w wybranych państwach Unii Europejskiej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„Rocznik Nauk Społecznych KUL, 2010, z. 2 (38).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B8C7-630A-44E2-A190-EB80708B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LibreOffice/7.5.6.2$Windows_X86_64 LibreOffice_project/f654817fb68d6d4600d7d2f6b647e47729f55f15</Application>
  <AppVersion>15.0000</AppVersion>
  <Pages>4</Pages>
  <Words>672</Words>
  <Characters>4791</Characters>
  <CharactersWithSpaces>5335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2024-02-17T13:01:00Z</dcterms:created>
  <dc:creator>Anna Łukasiewicz</dc:creator>
  <dc:description/>
  <dc:language>pl-PL</dc:language>
  <cp:lastModifiedBy/>
  <cp:lastPrinted>2019-01-23T11:10:00Z</cp:lastPrinted>
  <dcterms:modified xsi:type="dcterms:W3CDTF">2024-11-28T15:37:31Z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