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spacing w:before="0" w:after="120"/>
        <w:rPr/>
      </w:pPr>
      <w:r>
        <w:rPr/>
        <w:t>Cykl kształcenia od roku akademickiego: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Unia Europejska a bezpieczeństwo euroatlantyckie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en-GB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The European Union and Euro-Atlantic Security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Stosunki międzynarodowe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Stosunki międzynarodowe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4"/>
        <w:gridCol w:w="4527"/>
      </w:tblGrid>
      <w:tr>
        <w:trPr/>
        <w:tc>
          <w:tcPr>
            <w:tcW w:w="4534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</w:t>
            </w:r>
          </w:p>
        </w:tc>
        <w:tc>
          <w:tcPr>
            <w:tcW w:w="452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Prof. dr hab. Andrzej Podraza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1"/>
        <w:gridCol w:w="6850"/>
      </w:tblGrid>
      <w:tr>
        <w:trPr/>
        <w:tc>
          <w:tcPr>
            <w:tcW w:w="22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W1-Podstawowa wiedza o funkcjonowaniu Unii Europejskiej, W2- Podstawowa znajomość historii XX i XXI wieku oraz stosunków międzynarodowych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C1 – Zapoznanie studentów z głównymi aspektami bezpieczeństwa w obszarze Euroatlantyckim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C2- Zgłębienie roli Unii Europejskiej (UE) w kształtowaniu polityki bezpieczeństwa i obrony 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76" w:before="0" w:after="16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C3- Poznanie wyzwań, przed którymi stoi UE w kontekście zmieniającego się porządku geopolitycznego i rosnącej obecności nowych zagrożeń.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C4-rozwinięcie kompetencji analitycznych i krytycznego podejścia do problemów związanych z bezpieczeństwem, z uwzględnieniem roli NATO, Unii Europejskiej oraz innych organizacji międzynarodowych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5833"/>
        <w:gridCol w:w="2137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jest w stanie sformułować rolę Unii Europejskiej w euroatlantyckim systemie bezpieczeństwa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K_W02, K_W06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Absolwent zna definicję bezpieczeństwa i rozumie podstawowe mechanizmy funkcjonowania systemu bezpieczeństwa 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K_W02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Rozumie kluczowe pojęcia związane z bezpieczeństwem w obszarze Euroatlantyku, mechanizmy współpracy Unii Europejskiej z NATO i innymi organizacjami międzynarodowymi.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K_W06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samodzielnie analizować i interpretować dokumenty strategiczne, raporty i analizy dotyczące bezpieczeństwa międzynarodowego.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K_U01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wykorzystywać pogłębioną wiedzę teoretyczną w procesie komunikowania międzykulturowego i międzynarodowego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K_U04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umie zaproponować rozwiązania w zakresie współpracy międzynarodowej w dziedzinie bezpieczeństwa.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K_U04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Absolwent potrafi w oparciu o samodzielną analizę dokumentów strategicznych, raportów i analiz w wyczerpujący i syntetyczny sposób przedstawić dany problem innym studentom.</w:t>
            </w:r>
          </w:p>
        </w:tc>
        <w:tc>
          <w:tcPr>
            <w:tcW w:w="213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K_K04</w:t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Europa i Unia Europejska – kontekst historyczny, powstanie, rozwój instytucjonalny.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 xml:space="preserve">Teorie stosunków międzynarodowych wobec bezpieczeństwa euroatlantyckiego. Realizm, liberalizm, konstruktywizm a bezpieczeństwo. 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Wprowadzenie do teorii bezpieczeństwa. Definicje i klasyfikacje zagrożeń. Teorie i koncepcje bezpieczeństwa w stosunkach międzynarodowych. Definicja bezpieczeństwa.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 xml:space="preserve">Bezpieczeństwo międzynarodowe w okresie pozimnowojennym.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Transformacja NATO po zakończeniu zimnej wojny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Mechanizmy kolektywnej obrony: artykuł 5 Traktatu Północnoatlantyckiego.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</w:t>
            </w: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Wyzwania związane z obroną przed cyberzagrożeniami, terroryzmem i nieregularnymi formami agresji.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Unia Europejska jako aktor stosunków międzynarodowych. Wprowadzenie do polityki bezpieczeństwa i obrony UE. Wspólna Polityka Zagraniczna i Bezpieczeństwa Unii Europejskiej z uwzględnieniem Wspólnej Polityki Bezpieczeństwa i Obrony. Globalna strategia UE w dziedzinie polityki zagranicznej i bezpieczeństwa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 xml:space="preserve">Unia Europejska wobec współczesnych kryzysów i wyzwań w sąsiedztwie- Kryzys ukraiński i jego wpływ na bezpieczeństwo w regionie. Konflikty regionalne i ich konsekwencje dla transatlantyckiej współpracy.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 xml:space="preserve">Administracja Stanów Zjednoczonych po zakończeniu zimnej wojny a relacje z Unią Europejską i jej państwami członkowskimi. Porównanie polityki ostatnich prezydentów USA wobec bezpieczeństwa i stosunków z Unią Europejską. </w:t>
            </w:r>
          </w:p>
          <w:p>
            <w:pPr>
              <w:pStyle w:val="ListParagraph"/>
              <w:widowControl w:val="false"/>
              <w:suppressAutoHyphens w:val="true"/>
              <w:spacing w:lineRule="auto" w:line="240" w:before="0" w:after="0"/>
              <w:contextualSpacing/>
              <w:jc w:val="left"/>
              <w:rPr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ListParagraph"/>
              <w:widowControl w:val="false"/>
              <w:numPr>
                <w:ilvl w:val="0"/>
                <w:numId w:val="2"/>
              </w:numPr>
              <w:suppressAutoHyphens w:val="true"/>
              <w:spacing w:lineRule="auto" w:line="240" w:before="0" w:after="0"/>
              <w:contextualSpacing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Unia Europejska wobec nowych wyzwań i zagrożeń bezpieczeństwa. Rola nowych technologii i zmian klimatycznych w kształtowaniu przyszłych zagrożeń.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2646"/>
        <w:gridCol w:w="2780"/>
        <w:gridCol w:w="2543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46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8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Wykłady interaktywne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z tekstem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W_03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z tekstem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Dyskusje grupowe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Dyskusje grupowe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Dyskusje grupowe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46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Prezentacje multimedialne</w:t>
            </w:r>
          </w:p>
        </w:tc>
        <w:tc>
          <w:tcPr>
            <w:tcW w:w="278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Zaliczenie</w:t>
            </w:r>
          </w:p>
        </w:tc>
        <w:tc>
          <w:tcPr>
            <w:tcW w:w="254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>
      <w:pPr>
        <w:pStyle w:val="Normal"/>
        <w:ind w:left="360" w:hanging="0"/>
        <w:rPr>
          <w:b/>
        </w:rPr>
      </w:pPr>
      <w:r>
        <w:rPr>
          <w:b/>
        </w:rPr>
      </w:r>
    </w:p>
    <w:p>
      <w:pPr>
        <w:pStyle w:val="Normal"/>
        <w:rPr>
          <w:bCs/>
        </w:rPr>
      </w:pPr>
      <w:r>
        <w:rPr>
          <w:bCs/>
        </w:rPr>
        <w:t>(1) Prezentacje – o długości ponad 20 min. na dany temat przy wykorzystaniu zalecanej literatury i źródeł własnych</w:t>
      </w:r>
    </w:p>
    <w:p>
      <w:pPr>
        <w:pStyle w:val="Normal"/>
        <w:rPr>
          <w:bCs/>
        </w:rPr>
      </w:pPr>
      <w:r>
        <w:rPr>
          <w:bCs/>
        </w:rPr>
        <w:t xml:space="preserve">(2) Dyskusja na każdy temat będzie odbywała się w terminach określonych przy tematach i przy wykorzystaniu zalecanej literatury. Każdy student ma obowiązek zapoznania się z literaturą. </w:t>
      </w:r>
    </w:p>
    <w:p>
      <w:pPr>
        <w:pStyle w:val="Normal"/>
        <w:rPr>
          <w:bCs/>
        </w:rPr>
      </w:pPr>
      <w:r>
        <w:rPr>
          <w:bCs/>
        </w:rPr>
        <w:t xml:space="preserve">(3) Końcowa ocena będzie uwzględniała następujące elementy: </w:t>
      </w:r>
    </w:p>
    <w:p>
      <w:pPr>
        <w:pStyle w:val="Normal"/>
        <w:rPr>
          <w:bCs/>
        </w:rPr>
      </w:pPr>
      <w:r>
        <w:rPr>
          <w:bCs/>
        </w:rPr>
        <w:t>- udział w dyskusjach;</w:t>
      </w:r>
    </w:p>
    <w:p>
      <w:pPr>
        <w:pStyle w:val="Normal"/>
        <w:rPr>
          <w:bCs/>
        </w:rPr>
      </w:pPr>
      <w:r>
        <w:rPr>
          <w:bCs/>
        </w:rPr>
        <w:t>- prezentacje</w:t>
      </w:r>
    </w:p>
    <w:p>
      <w:pPr>
        <w:pStyle w:val="Normal"/>
        <w:rPr>
          <w:bCs/>
        </w:rPr>
      </w:pPr>
      <w:r>
        <w:rPr>
          <w:bCs/>
        </w:rPr>
        <w:t>- kolokwia</w:t>
      </w:r>
    </w:p>
    <w:p>
      <w:pPr>
        <w:pStyle w:val="Normal"/>
        <w:rPr>
          <w:bCs/>
        </w:rPr>
      </w:pPr>
      <w:r>
        <w:rPr>
          <w:bCs/>
        </w:rPr>
        <w:t>- obecność na zajęciach (w przypadku studentów posiadających ITS obecność na poziomie 50%)</w:t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b/>
              </w:rPr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en-GB"/>
              </w:rPr>
            </w:pPr>
            <w:r>
              <w:rPr>
                <w:lang w:val="en-GB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  <w:lang w:val="en-GB"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en-GB" w:eastAsia="en-US" w:bidi="ar-SA"/>
              </w:rPr>
              <w:t xml:space="preserve">Dokumenty: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Bezpieczna Europa w lepszym świecie. Europejska Strategia Bezpieczeństwa, 2003,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https://www.consilium.europa.eu/media/30814/qc7809568plc.pdf.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 xml:space="preserve">Wspólna wizja, wspólne działanie: Silniejsza Europa Globalna strategia na rzecz polityki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zagranicznej i bezpieczeństwa Unii Europejskiej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2016,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https://www.eeas.europa.eu/sites/default/files/eugs_review_web_0.pdf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bCs/>
              </w:rPr>
            </w:pPr>
            <w:r>
              <w:rPr>
                <w:rFonts w:eastAsia="Calibri" w:cs=""/>
                <w:b/>
                <w:bCs/>
                <w:kern w:val="0"/>
                <w:sz w:val="22"/>
                <w:szCs w:val="22"/>
                <w:lang w:val="pl-PL" w:eastAsia="en-US" w:bidi="ar-SA"/>
              </w:rPr>
              <w:t>Literatura: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Ciupińśki, A.,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 xml:space="preserve">Polska wobec rozwoju polityki bezpieczeństwa i obrony Unii Europejskiej,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„Rocznik Integracji Europejskiej” nr 12, 2018, s. 357-370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Drzewicki, A.,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 xml:space="preserve">Unia Europejska a przyszłość europejskiego systemu bezpieczeństwa. Polski punkt widzenia,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„Dyplomacja i Bezpieczeństwo, Nr. 1(2)/2014, s. 103-120.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E. Lis,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Rola UE i NATO w systemie bezpieczeństwa międzynarodowego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„Annales Universitatis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Mariae Curie-Skłodowska Lublin – Polonia”, 2016, vol. LXIII, nr 1, s. 119-151,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http://dlibra.umcs.lublin.pl/Content/26681/czas4058_63_1_2016_7.pdf.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Kupiecki, R.,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 xml:space="preserve">Organizacja Traktatu Północnoatlantyckiego, 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Warszawa 2016.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A. Podraza,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 xml:space="preserve">Cyberterroryzm jako wzrastające zagrożenie dla bezpieczeństwa międzynarodowego w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XXI wieku,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 w: A. Podraza, P. Potakowski, K. Wiak (red.),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 xml:space="preserve">Cyberterroryzm zagrożeniem XXI wieku: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perspektywa politologiczna i prawna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Difin, Warszawa 2013, s. 21-43.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A. Podraza,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 xml:space="preserve">Europejska Polityka Bezpieczeństwa i Obrony (EPBiO): Unia Europejska w poszukiwaniu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tożsamości na arenie międzynarodowej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w: G. Michałowska (red.),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 xml:space="preserve">Integracja europejska –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 xml:space="preserve">instytucje – polityka – prawo. Księga pamiątkowa dla uczczenia 65-lecia Profesora Stanisława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Parzymiesa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Wydawnictwo Naukowe Scholar, Warszawa 2003, s. 365-382.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A. Podraza,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 xml:space="preserve">Ewolucja zagrożeń i wyzwań bezpieczeństwa międzynarodowego w okresie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pozimnowojennym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w: K. Budzowski (red.),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Międzynarodowe wyzwania bezpieczeństwa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Krakowska Akademia im. Andrzeja Frycza Modrzewskiego, Kraków 2010, s. 7-19.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A. Podraza,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 xml:space="preserve">Instytucjonalne dylematy transatlantyckich stosunków bezpieczeństwa: Unia Załącznik nr 5 do dokumentacji programowej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Europejska partnerem Stanów Zjednoczonych czy prymat NATO?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„Rocznik Integracji Europejskiej”,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2017, s. 9-25.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A. Podraza,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 xml:space="preserve">Unia Europejska jako podmiot geopolityczny czy humanitarny? Na przykładzie reakcji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wobec wojny w Syrii i problemu uchodźców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w: T. Kubin, M. Stolarczyk (red.),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 xml:space="preserve">Kryzysy w Unii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Europejskiej w drugiej dekadzie XXI wieku. Uwarunkowa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Zajączkowski, K.,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Misje cywilne i operacje wojskowe Unii Europejskiej w perspektywie wybranych teorii stosunków międzynarodowych i integracji europejskiej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, Warszawa 2019.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Zięba, R.,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pl-PL" w:eastAsia="en-US" w:bidi="ar-SA"/>
              </w:rPr>
              <w:t>Polska we współczesnej polityce bezpieczeństwa i obrony Unii Europejskiej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, „Polityka i Społeczeństwo” 10/2012, s. 160-169.  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en-GB"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en-GB" w:eastAsia="en-US" w:bidi="ar-SA"/>
              </w:rPr>
              <w:t>The EU, Security and Transatlantic Relations</w:t>
            </w: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 xml:space="preserve"> (ed.)  Finn Laursen, Euroclio 2012.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en-GB"/>
              </w:rPr>
            </w:pPr>
            <w:r>
              <w:rPr>
                <w:lang w:val="en-GB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  <w:lang w:val="en-GB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Gorm Rye Olsen,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en-GB" w:eastAsia="en-US" w:bidi="ar-SA"/>
              </w:rPr>
              <w:t xml:space="preserve"> America is Back” or “America First” and the Transatlantic Relationship, “</w:t>
            </w: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Politics and Governance”, 2022, Volume 10, Issue 2, Pages 154–164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  <w:lang w:val="en-GB"/>
              </w:rPr>
            </w:pPr>
            <w:r>
              <w:rPr>
                <w:i/>
                <w:iCs/>
                <w:lang w:val="en-GB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  <w:lang w:val="en-GB"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en-GB" w:eastAsia="en-US" w:bidi="ar-SA"/>
              </w:rPr>
              <w:t xml:space="preserve">Kay, S. I.,  Realist Foreign Policy and Transatlantic Security Institutions, </w:t>
            </w: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“Security Studies”,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en-GB" w:eastAsia="en-US" w:bidi="ar-SA"/>
              </w:rPr>
              <w:t> </w:t>
            </w: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29(3), 493–514.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en-GB" w:eastAsia="en-US" w:bidi="ar-SA"/>
              </w:rPr>
              <w:t xml:space="preserve">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iCs/>
                <w:lang w:val="en-GB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 xml:space="preserve">Bjørn Olav Knutsen, 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en-GB" w:eastAsia="en-US" w:bidi="ar-SA"/>
              </w:rPr>
              <w:t xml:space="preserve">A Weakening Transatlantic Relationship? Redefining the EU–US Security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en-GB"/>
              </w:rPr>
            </w:pP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en-GB" w:eastAsia="en-US" w:bidi="ar-SA"/>
              </w:rPr>
              <w:t>and Defence Cooperation</w:t>
            </w: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 xml:space="preserve">, “Politics and Governance”, 2022, Volume 10, Issue 2, Pages 165–175.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en-GB"/>
              </w:rPr>
            </w:pPr>
            <w:r>
              <w:rPr>
                <w:lang w:val="en-GB"/>
              </w:rPr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lang w:val="en-GB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Driver, D.,</w:t>
            </w:r>
            <w:r>
              <w:rPr>
                <w:rFonts w:eastAsia="Calibri" w:cs=""/>
                <w:i/>
                <w:iCs/>
                <w:kern w:val="0"/>
                <w:sz w:val="22"/>
                <w:szCs w:val="22"/>
                <w:lang w:val="en-GB" w:eastAsia="en-US" w:bidi="ar-SA"/>
              </w:rPr>
              <w:t xml:space="preserve"> The European Union and the Comprehensive Civil-Military Approach  in Euro-Atlantic Security Matching Reality to Rhetoric, </w:t>
            </w:r>
            <w:r>
              <w:rPr>
                <w:rFonts w:eastAsia="Calibri" w:cs=""/>
                <w:kern w:val="0"/>
                <w:sz w:val="22"/>
                <w:szCs w:val="22"/>
                <w:lang w:val="en-GB" w:eastAsia="en-US" w:bidi="ar-SA"/>
              </w:rPr>
              <w:t>“Strategic Studies Quarterly, V. 4, No. 3 2010, s. 136-155.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lang w:val="en-GB"/>
              </w:rPr>
            </w:pPr>
            <w:r>
              <w:rPr>
                <w:b/>
                <w:lang w:val="en-GB"/>
              </w:rPr>
            </w:r>
          </w:p>
        </w:tc>
      </w:tr>
    </w:tbl>
    <w:p>
      <w:pPr>
        <w:pStyle w:val="Normal"/>
        <w:spacing w:before="0" w:after="0"/>
        <w:rPr>
          <w:b/>
          <w:lang w:val="en-GB"/>
        </w:rPr>
      </w:pPr>
      <w:r>
        <w:rPr>
          <w:b/>
          <w:lang w:val="en-GB"/>
        </w:rPr>
      </w:r>
    </w:p>
    <w:p>
      <w:pPr>
        <w:pStyle w:val="Normal"/>
        <w:spacing w:before="0" w:after="200"/>
        <w:rPr>
          <w:lang w:val="en-GB"/>
        </w:rPr>
      </w:pPr>
      <w:r>
        <w:rPr>
          <w:lang w:val="en-GB"/>
        </w:rPr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8b6f0e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LibreOffice/7.5.6.2$Windows_X86_64 LibreOffice_project/f654817fb68d6d4600d7d2f6b647e47729f55f15</Application>
  <AppVersion>15.0000</AppVersion>
  <Pages>4</Pages>
  <Words>1068</Words>
  <Characters>7783</Characters>
  <CharactersWithSpaces>8698</CharactersWithSpaces>
  <Paragraphs>179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2024-11-25T08:45:00Z</dcterms:created>
  <dc:creator>Anna Łukasiewicz</dc:creator>
  <dc:description/>
  <dc:language>pl-PL</dc:language>
  <cp:lastModifiedBy>Bartosz Gromko</cp:lastModifiedBy>
  <cp:lastPrinted>2019-01-23T11:10:00Z</cp:lastPrinted>
  <dcterms:modified xsi:type="dcterms:W3CDTF">2024-11-25T08:45:00Z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