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20"/>
        <w:rPr>
          <w:b/>
        </w:rPr>
      </w:pPr>
      <w:r>
        <w:rPr>
          <w:b/>
        </w:rPr>
        <w:t xml:space="preserve">KARTA PRZEDMIOTU </w:t>
      </w:r>
    </w:p>
    <w:p>
      <w:pPr>
        <w:pStyle w:val="Normal"/>
        <w:spacing w:before="0" w:after="120"/>
        <w:rPr/>
      </w:pPr>
      <w:r>
        <w:rPr/>
        <w:t>Cykl kształcenia od roku akademickiego: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Dane podstawowe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0"/>
        <w:gridCol w:w="4531"/>
      </w:tblGrid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Pozaeuropejska polityka UE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Non-European EU policy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Kierunek studiów 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Stosunki międzynarodowe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II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Nauki Polityczne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Polski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4"/>
        <w:gridCol w:w="4527"/>
      </w:tblGrid>
      <w:tr>
        <w:trPr/>
        <w:tc>
          <w:tcPr>
            <w:tcW w:w="4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Koordynator przedmiotu</w:t>
            </w:r>
          </w:p>
        </w:tc>
        <w:tc>
          <w:tcPr>
            <w:tcW w:w="4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Dr. Bartosz Gromko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5"/>
        <w:gridCol w:w="2257"/>
        <w:gridCol w:w="2261"/>
        <w:gridCol w:w="2258"/>
      </w:tblGrid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2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III</w:t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12"/>
        <w:gridCol w:w="6849"/>
      </w:tblGrid>
      <w:tr>
        <w:trPr/>
        <w:tc>
          <w:tcPr>
            <w:tcW w:w="2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8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 1 – Ogólna znajomość struktur i funkcjonowania Unii Europejskie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C-1 -  Przedmiot ma na celu zapoznanie studentów z zasadami, instrumentami i praktykami polityki zewnętrznej Unii Europejskiej z naciskiem na politykę UE wobec krajów i organizacji spoza Europy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C-2 -  Analiz głównych celów Unii Europejskiej, strategii, instytucji oraz wyzwań, przed którymi stoi UE w relacjach z różnymi regionami świata, takimi jak Azja, Afryka, Ameryka Łacińska, Bliski Wschód czy Pacyfik.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3"/>
        <w:gridCol w:w="5832"/>
        <w:gridCol w:w="2137"/>
      </w:tblGrid>
      <w:tr>
        <w:trPr/>
        <w:tc>
          <w:tcPr>
            <w:tcW w:w="10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8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3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Przyswojenie wiedzy na temat politycznych, gospodarczych i społecznych uwarunkowań pozaeuropejskiej polityki UE.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K_W02, K_W03, K_W06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Zrozumienie mechanizmów politycznych, które kształtują pozaeuropejską politykę UE (m.in. polityka handlowa, bezpieczeństwo, rozwój, dyplomacja).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K_W02, K_W03, K_W05, K_W06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W_03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Zrozumienie roli Unii Europejskiej w globalnej polityce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K_W02, K_W03, K_W06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/>
              <w:spacing w:lineRule="auto" w:line="276"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Rozwój umiejętności analizy i oceny skutków decyzji podejmowanych przez instytucje UE w stosunkach międzynarodowych.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K_U01, K_U04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/>
              <w:spacing w:lineRule="auto" w:line="276"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Analiza wyzwań i szans wynikających z relacji UE z krajami i regionami spoza Europy.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K_U01, K_U04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U_03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/>
              <w:spacing w:lineRule="auto" w:line="276"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Potrafi formułować opinie i propozycje polityczne dotyczące przyszłości polityki zagranicznej UE.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K_U04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Student potrafi w oparciu o zdobytą wiedzą, źródła własne przekazywać informacje i argumentować swój punkt widzenia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K_K01, K_K04</w:t>
            </w:r>
          </w:p>
        </w:tc>
      </w:tr>
    </w:tbl>
    <w:p>
      <w:pPr>
        <w:pStyle w:val="ListParagraph"/>
        <w:ind w:left="1080" w:hanging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Opis przedmiotu/ treści programowe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76"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Wprowadzenie do pozaeuropejskiej polityki Unii Europejskiej:</w:t>
            </w:r>
          </w:p>
          <w:p>
            <w:pPr>
              <w:pStyle w:val="Normal"/>
              <w:widowControl/>
              <w:numPr>
                <w:ilvl w:val="1"/>
                <w:numId w:val="2"/>
              </w:numPr>
              <w:spacing w:lineRule="auto" w:line="276"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Wprowadzenie do historii Europy i jej wpływu na świat</w:t>
            </w:r>
          </w:p>
          <w:p>
            <w:pPr>
              <w:pStyle w:val="Normal"/>
              <w:widowControl/>
              <w:numPr>
                <w:ilvl w:val="1"/>
                <w:numId w:val="2"/>
              </w:numPr>
              <w:spacing w:lineRule="auto" w:line="276"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Historia rozwoju polityki zewnętrznej UE.</w:t>
            </w:r>
          </w:p>
          <w:p>
            <w:pPr>
              <w:pStyle w:val="Normal"/>
              <w:widowControl/>
              <w:numPr>
                <w:ilvl w:val="1"/>
                <w:numId w:val="2"/>
              </w:numPr>
              <w:spacing w:lineRule="auto" w:line="276"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Podstawowe zasady i cele polityki zagranicznej UE.</w:t>
            </w:r>
          </w:p>
          <w:p>
            <w:pPr>
              <w:pStyle w:val="Normal"/>
              <w:widowControl/>
              <w:numPr>
                <w:ilvl w:val="1"/>
                <w:numId w:val="2"/>
              </w:numPr>
              <w:spacing w:lineRule="auto" w:line="276"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Instytucje odpowiedzialne za politykę zewnętrzną UE (Rada UE, Komisja Europejska, Parlament Europejski, Europejska Służba Działań Zewnętrznych).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76"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Relacje UE z poszczególnymi regionami świata:</w:t>
            </w:r>
          </w:p>
          <w:p>
            <w:pPr>
              <w:pStyle w:val="Normal"/>
              <w:widowControl/>
              <w:numPr>
                <w:ilvl w:val="1"/>
                <w:numId w:val="2"/>
              </w:numPr>
              <w:spacing w:lineRule="auto" w:line="276"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UE i jej stosunki z krajami rozwijającymi się (Afryka, Azja, Ameryka Łacińska).</w:t>
            </w:r>
          </w:p>
          <w:p>
            <w:pPr>
              <w:pStyle w:val="Normal"/>
              <w:widowControl/>
              <w:numPr>
                <w:ilvl w:val="1"/>
                <w:numId w:val="2"/>
              </w:numPr>
              <w:spacing w:lineRule="auto" w:line="276"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Polityka sąsiedztwa Unii Europejskiej: Europa Wschodnia i Południowa, Bliski Wschód.</w:t>
            </w:r>
          </w:p>
          <w:p>
            <w:pPr>
              <w:pStyle w:val="Normal"/>
              <w:widowControl/>
              <w:numPr>
                <w:ilvl w:val="1"/>
                <w:numId w:val="2"/>
              </w:numPr>
              <w:spacing w:lineRule="auto" w:line="276"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Polityka Unii wobec Rosji (zwłaszcza w kontekście wojny w Ukrainie)</w:t>
            </w:r>
          </w:p>
          <w:p>
            <w:pPr>
              <w:pStyle w:val="Normal"/>
              <w:widowControl/>
              <w:numPr>
                <w:ilvl w:val="1"/>
                <w:numId w:val="2"/>
              </w:numPr>
              <w:spacing w:lineRule="auto" w:line="276"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Polityka bezpieczeństwa i obrony UE w kontekście pozaeuropejskim.</w:t>
            </w:r>
          </w:p>
          <w:p>
            <w:pPr>
              <w:pStyle w:val="Normal"/>
              <w:widowControl/>
              <w:numPr>
                <w:ilvl w:val="1"/>
                <w:numId w:val="2"/>
              </w:numPr>
              <w:spacing w:lineRule="auto" w:line="276"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Polityka migracyjna UE oraz jej wpływ na stosunki z krajami pozaeuropejskimi.</w:t>
            </w:r>
          </w:p>
          <w:p>
            <w:pPr>
              <w:pStyle w:val="Normal"/>
              <w:widowControl/>
              <w:spacing w:lineRule="auto" w:line="276" w:before="0" w:after="160"/>
              <w:ind w:left="1440" w:right="0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76"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Główne narzędzia pozaeuropejskiej polityki UE:</w:t>
            </w:r>
          </w:p>
          <w:p>
            <w:pPr>
              <w:pStyle w:val="Normal"/>
              <w:widowControl/>
              <w:numPr>
                <w:ilvl w:val="1"/>
                <w:numId w:val="2"/>
              </w:numPr>
              <w:spacing w:lineRule="auto" w:line="276"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Polityka handlowa UE i umowy międzynarodowe.</w:t>
            </w:r>
          </w:p>
          <w:p>
            <w:pPr>
              <w:pStyle w:val="Normal"/>
              <w:widowControl/>
              <w:numPr>
                <w:ilvl w:val="1"/>
                <w:numId w:val="2"/>
              </w:numPr>
              <w:spacing w:lineRule="auto" w:line="276"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Polityka rozwoju i pomoc humanitarna.</w:t>
            </w:r>
          </w:p>
          <w:p>
            <w:pPr>
              <w:pStyle w:val="Normal"/>
              <w:widowControl/>
              <w:numPr>
                <w:ilvl w:val="1"/>
                <w:numId w:val="2"/>
              </w:numPr>
              <w:spacing w:lineRule="auto" w:line="276"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Dyplomacja UE: negocjacje międzynarodowe, rola przedstawicieli UE na świecie.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76"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Wyzwania i kontrowersje w polityce zewnętrznej UE:</w:t>
            </w:r>
          </w:p>
          <w:p>
            <w:pPr>
              <w:pStyle w:val="Normal"/>
              <w:widowControl/>
              <w:numPr>
                <w:ilvl w:val="1"/>
                <w:numId w:val="2"/>
              </w:numPr>
              <w:spacing w:lineRule="auto" w:line="276"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Konflikty interesów i różnorodność krajów członkowskich UE w zakresie polityki zagranicznej.</w:t>
            </w:r>
          </w:p>
          <w:p>
            <w:pPr>
              <w:pStyle w:val="Normal"/>
              <w:widowControl/>
              <w:numPr>
                <w:ilvl w:val="1"/>
                <w:numId w:val="2"/>
              </w:numPr>
              <w:spacing w:lineRule="auto" w:line="276"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Rola UE w rozwiązywaniu globalnych kryzysów (klimatyczny, migracyjny, terrorystyczny).</w:t>
            </w:r>
          </w:p>
          <w:p>
            <w:pPr>
              <w:pStyle w:val="Normal"/>
              <w:widowControl/>
              <w:numPr>
                <w:ilvl w:val="1"/>
                <w:numId w:val="2"/>
              </w:numPr>
              <w:spacing w:lineRule="auto" w:line="276"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Współczesne wyzwania, takie jak rosnące napięcia geopolityczne, zmiany w strukturze globalnej władzy.</w:t>
            </w:r>
          </w:p>
        </w:tc>
      </w:tr>
    </w:tbl>
    <w:p>
      <w:pPr>
        <w:pStyle w:val="Normal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Metody realizacji i weryfikacji efektów uczenia się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2"/>
        <w:gridCol w:w="2652"/>
        <w:gridCol w:w="2776"/>
        <w:gridCol w:w="2541"/>
      </w:tblGrid>
      <w:tr>
        <w:trPr/>
        <w:tc>
          <w:tcPr>
            <w:tcW w:w="10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65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77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54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6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Wykłady multimedialne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26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Debaty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W_03</w:t>
            </w:r>
          </w:p>
        </w:tc>
        <w:tc>
          <w:tcPr>
            <w:tcW w:w="26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Prezentacje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6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26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U_03</w:t>
            </w:r>
          </w:p>
        </w:tc>
        <w:tc>
          <w:tcPr>
            <w:tcW w:w="26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26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Prezentacje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ListParagraph"/>
        <w:ind w:left="1080" w:hanging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Kryteria oceny, wagi…</w:t>
      </w:r>
    </w:p>
    <w:p>
      <w:pPr>
        <w:pStyle w:val="Normal"/>
        <w:spacing w:lineRule="auto" w:line="276" w:before="0" w:after="160"/>
        <w:ind w:left="1080" w:hanging="0"/>
        <w:rPr/>
      </w:pPr>
      <w:r>
        <w:rPr>
          <w:b/>
          <w:bCs/>
        </w:rPr>
        <w:t>Ćwiczenia / seminaria:</w:t>
      </w:r>
      <w:r>
        <w:rPr/>
        <w:t xml:space="preserve"> Prezentacja na temat polityki zewnętrznej UE (30% oceny końcowej).</w:t>
      </w:r>
    </w:p>
    <w:p>
      <w:pPr>
        <w:pStyle w:val="Normal"/>
        <w:spacing w:lineRule="auto" w:line="276" w:before="0" w:after="160"/>
        <w:ind w:left="1080" w:hanging="0"/>
        <w:rPr/>
      </w:pPr>
      <w:r>
        <w:rPr>
          <w:b/>
          <w:bCs/>
        </w:rPr>
        <w:t>Aktywność na zajęciach:</w:t>
      </w:r>
      <w:r>
        <w:rPr/>
        <w:t xml:space="preserve"> Udział w dyskusjach i analiza przypadków (30% oceny końcowej).</w:t>
      </w:r>
    </w:p>
    <w:p>
      <w:pPr>
        <w:pStyle w:val="Normal"/>
        <w:spacing w:lineRule="auto" w:line="276" w:before="0" w:after="160"/>
        <w:ind w:left="1080" w:hanging="0"/>
        <w:rPr/>
      </w:pPr>
      <w:r>
        <w:rPr>
          <w:b/>
          <w:bCs/>
        </w:rPr>
        <w:t xml:space="preserve">Kolokwium: </w:t>
      </w:r>
      <w:r>
        <w:rPr/>
        <w:t>(40% oceny końcowej).</w:t>
      </w:r>
    </w:p>
    <w:p>
      <w:pPr>
        <w:pStyle w:val="ListParagraph"/>
        <w:ind w:left="1080" w:hanging="0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  <w:r>
        <w:br w:type="page"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Obciążenie pracą studenta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8"/>
        <w:gridCol w:w="4523"/>
      </w:tblGrid>
      <w:tr>
        <w:trPr/>
        <w:tc>
          <w:tcPr>
            <w:tcW w:w="45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Liczba godzin kontaktowych z nauczycielem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Kuźniar, R., </w:t>
            </w: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pl-PL" w:eastAsia="en-US" w:bidi="ar-SA"/>
              </w:rPr>
              <w:t xml:space="preserve">Europa w porządku międzynarodowym,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Warszawa 2018.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en-GB" w:eastAsia="en-US" w:bidi="ar-SA"/>
              </w:rPr>
              <w:t xml:space="preserve">The EU and the world: players and policies post-Lisbon, </w:t>
            </w: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 xml:space="preserve">ed.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Antonio Missiroli, Paris 2018.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pl-PL" w:eastAsia="en-US" w:bidi="ar-SA"/>
              </w:rPr>
              <w:t>Dyplomacja czy siła? Unia Europejska w stosunkach międzynarodowych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, red. Stanisław Parzymies, Warszawa 2009.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Zielonka, J., </w:t>
            </w: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pl-PL" w:eastAsia="en-US" w:bidi="ar-SA"/>
              </w:rPr>
              <w:t xml:space="preserve">Europa jako imperium: Polityka zewnętrzna Unii Europejskiej,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Warszawa 2007. 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 xml:space="preserve">Barburska, O., </w:t>
            </w:r>
            <w:r>
              <w:rPr>
                <w:rFonts w:eastAsia="Calibri" w:cs=""/>
                <w:bCs/>
                <w:i/>
                <w:iCs/>
                <w:kern w:val="0"/>
                <w:sz w:val="22"/>
                <w:szCs w:val="22"/>
                <w:lang w:val="pl-PL" w:eastAsia="en-US" w:bidi="ar-SA"/>
              </w:rPr>
              <w:t>Stanowisko głównych</w:t>
            </w: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bCs/>
                <w:i/>
                <w:iCs/>
                <w:kern w:val="0"/>
                <w:sz w:val="22"/>
                <w:szCs w:val="22"/>
                <w:lang w:val="pl-PL" w:eastAsia="en-US" w:bidi="ar-SA"/>
              </w:rPr>
              <w:t xml:space="preserve">aktorów zewnętrznych wobec Partnerstwa Wschodniego Unii Europejskiej, </w:t>
            </w: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 xml:space="preserve">„Rocznik Instytutu Europy Środkowo-Wschodniej”, 17, 2019, s. 155-169.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lang w:val="en-GB"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en-GB" w:eastAsia="en-US" w:bidi="ar-SA"/>
              </w:rPr>
              <w:t xml:space="preserve">Buzan, B., Diez, T., </w:t>
            </w:r>
            <w:r>
              <w:rPr>
                <w:rFonts w:eastAsia="Calibri" w:cs=""/>
                <w:bCs/>
                <w:i/>
                <w:iCs/>
                <w:kern w:val="0"/>
                <w:sz w:val="22"/>
                <w:szCs w:val="22"/>
                <w:lang w:val="en-GB" w:eastAsia="en-US" w:bidi="ar-SA"/>
              </w:rPr>
              <w:t xml:space="preserve">The European Union and Turkey, </w:t>
            </w:r>
            <w:r>
              <w:rPr>
                <w:rFonts w:eastAsia="Calibri" w:cs=""/>
                <w:bCs/>
                <w:kern w:val="0"/>
                <w:sz w:val="22"/>
                <w:szCs w:val="22"/>
                <w:lang w:val="en-GB" w:eastAsia="en-US" w:bidi="ar-SA"/>
              </w:rPr>
              <w:t xml:space="preserve">“Survival: Global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 xml:space="preserve">Politics and Strategy, 1999, 41-57.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lang w:val="en-GB"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en-GB" w:eastAsia="en-US" w:bidi="ar-SA"/>
              </w:rPr>
              <w:t xml:space="preserve">Piskorska, B., </w:t>
            </w:r>
            <w:r>
              <w:rPr>
                <w:rFonts w:eastAsia="Calibri" w:cs=""/>
                <w:bCs/>
                <w:i/>
                <w:iCs/>
                <w:kern w:val="0"/>
                <w:sz w:val="22"/>
                <w:szCs w:val="22"/>
                <w:lang w:val="en-GB" w:eastAsia="en-US" w:bidi="ar-SA"/>
              </w:rPr>
              <w:t xml:space="preserve">Challenges to the European Union’s adaptive capacity in the foreign and security policy sphere on the example of Russia’s aggression in Ukraine, </w:t>
            </w:r>
            <w:r>
              <w:rPr>
                <w:rFonts w:eastAsia="Calibri" w:cs=""/>
                <w:bCs/>
                <w:kern w:val="0"/>
                <w:sz w:val="22"/>
                <w:szCs w:val="22"/>
                <w:lang w:val="en-GB" w:eastAsia="en-US" w:bidi="ar-SA"/>
              </w:rPr>
              <w:t>“Transformacje” 4(119), 2023, pp. 683-699.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lang w:val="en-GB"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en-GB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 xml:space="preserve">K.Zajączkowski, </w:t>
            </w:r>
            <w:r>
              <w:rPr>
                <w:rFonts w:eastAsia="Calibri" w:cs=""/>
                <w:bCs/>
                <w:i/>
                <w:iCs/>
                <w:kern w:val="0"/>
                <w:sz w:val="22"/>
                <w:szCs w:val="22"/>
                <w:lang w:val="pl-PL" w:eastAsia="en-US" w:bidi="ar-SA"/>
              </w:rPr>
              <w:t>UE – Afryka Subsaharyjska: stosunki u progu XX w., „</w:t>
            </w: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Studia Europejskie – Studies in European Affairs”, 4/2006, pp. 41-64.</w:t>
            </w:r>
          </w:p>
        </w:tc>
      </w:tr>
    </w:tbl>
    <w:p>
      <w:pPr>
        <w:pStyle w:val="Normal"/>
        <w:spacing w:before="0" w:after="0"/>
        <w:rPr>
          <w:b/>
        </w:rPr>
      </w:pPr>
      <w:r>
        <w:rPr>
          <w:b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i/>
        <w:i/>
      </w:rPr>
    </w:pPr>
    <w:r>
      <w:rPr>
        <w:i/>
      </w:rPr>
      <w:t>Załącznik nr 5</w:t>
    </w:r>
  </w:p>
  <w:p>
    <w:pPr>
      <w:pStyle w:val="Gwka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i/>
        <w:i/>
      </w:rPr>
    </w:pPr>
    <w:r>
      <w:rPr>
        <w:i/>
      </w:rPr>
      <w:t>Załącznik nr 5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Hyperlink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uiPriority w:val="99"/>
    <w:qFormat/>
    <w:rsid w:val="00b04272"/>
    <w:rPr/>
  </w:style>
  <w:style w:type="character" w:styleId="StopkaZnak" w:customStyle="1">
    <w:name w:val="Stopka Znak"/>
    <w:basedOn w:val="DefaultParagraphFont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04272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8502E-9938-4406-B67D-292D35BC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LibreOffice/7.5.6.2$Windows_X86_64 LibreOffice_project/f654817fb68d6d4600d7d2f6b647e47729f55f15</Application>
  <AppVersion>15.0000</AppVersion>
  <Pages>4</Pages>
  <Words>723</Words>
  <Characters>4861</Characters>
  <CharactersWithSpaces>5419</CharactersWithSpaces>
  <Paragraphs>154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2024-11-25T09:07:00Z</dcterms:created>
  <dc:creator>Anna Łukasiewicz</dc:creator>
  <dc:description/>
  <dc:language>pl-PL</dc:language>
  <cp:lastModifiedBy/>
  <cp:lastPrinted>2019-01-23T11:10:00Z</cp:lastPrinted>
  <dcterms:modified xsi:type="dcterms:W3CDTF">2025-02-11T13:54:00Z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