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Służby, instytucje, straże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kern w:val="0"/>
                <w:sz w:val="22"/>
                <w:szCs w:val="22"/>
                <w:lang w:val="pl-PL" w:eastAsia="pl-PL" w:bidi="ar-SA"/>
              </w:rPr>
              <w:t>Services, institutions, guards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 / Bezpieczeństwo społeczne i zarządzanie kryzysowe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bezpieczeństwie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Stanisław Dubaj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zajęć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Studenci winni dysponować ogólną wiedzą z zakresu teorii państwa i prawa oraz orientować się w bieżącej problematyce bezpieczeństwa państwa </w:t>
              <w:br/>
              <w:t>i w relacjach międzynarodowych.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color w:val="FF0000"/>
                <w:sz w:val="22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Zapoznanie studentów z problematyką funkcjonowania instytucji zaangażowanych w ochronę bezpieczeństwa i porządku publicznego w Polsce (na poziomie centralnym, regionalnym </w:t>
              <w:br/>
              <w:t>i lokalnym).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Poznanie i przyswojenie niezbędnej wiedzy związanej z zadaniami polskich służb w tym zakresie w kontekście integracji ze strukturami Unii Europejskiej i NATO.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Umotywowanie studentów do podjęcia starań w zakresie możliwości odnalezienia się na lokalnym rynku pracy – absolwenci tej specjalności jako potencjalni kandydaci do służb mundurowych (instytucji odpowiadających za  bezpieczeństwo wewnętrzne i porządek publiczny).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>Profesjonalna znajomość przedmiotowej problematyki przez studentów, ma również działanie prewencyjne w zakresie bezpieczeństwa i porządku publicznego w regionie.</w:t>
            </w:r>
          </w:p>
        </w:tc>
      </w:tr>
    </w:tbl>
    <w:p>
      <w:pPr>
        <w:pStyle w:val="Normal"/>
        <w:tabs>
          <w:tab w:val="clear" w:pos="708"/>
          <w:tab w:val="left" w:pos="2940" w:leader="none"/>
        </w:tabs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5953"/>
        <w:gridCol w:w="2160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2"/>
                <w:sz w:val="22"/>
                <w:szCs w:val="22"/>
                <w:lang w:val="pl-PL" w:eastAsia="en-US" w:bidi="ar-SA"/>
              </w:rPr>
              <w:t>Absolwent zna i rozumie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istotę oraz uwarunkowania bezpieczeństwa państwa zarówno w skali lokalnej, ogólnopaństwowej, jak i międzynarodowej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na temat bezpieczeństwa globalnego, systemów bezpieczeństwa państw, a także bezpieczeństwa wewnętrznego i zewnętrznego Unii Europejskiej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 do analizowania, diagnozowania, wyjaśniania oraz prognozowania kwestii szczegółowych odnoszących się do bezpieczeństwa narodowego</w:t>
            </w:r>
          </w:p>
        </w:tc>
        <w:tc>
          <w:tcPr>
            <w:tcW w:w="2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budować strategie działań dotyczących bezpieczeństwa narodowego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przygotować wypowiedzi w języku polskim dotyczące nauk społecznych, wykorzystując wybrane teorie i różnorodne źródła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pozyskiwać, przechowywać oraz przetwarzać informacje z wykorzystaniem nowoczesnych technologii informacyjnych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K_U07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planować, organizować pracę zespołu i współpracować w grupie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K_U08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U_06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samodzielnie zdobywać i doskonalić wiedzę i umiejętności związane z dziedziną nauk społecznych oraz rozumie potrzebę stałego dokształcania się i podnoszenia własnych kwalifikacji zawodowych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K_U09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przestrzegania zasad etyki zawodowej oraz ich stosowania w działaniach mających na celu zapewnienie najwyższych standardów bezpieczeństwa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NoSpacing"/>
        <w:rPr>
          <w:rFonts w:cs="Arial"/>
          <w:lang w:eastAsia="pl-PL"/>
        </w:rPr>
      </w:pPr>
      <w:r>
        <w:rPr>
          <w:rFonts w:cs="Arial"/>
          <w:lang w:eastAsia="pl-PL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1. Bezpieczeństwo i porządek publiczny - istota i uwarunkowania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2. Analiza problematyki ogólnej z zakresu uwarunkowań i istoty 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bezpieczeństwa  i porządku publicznego we współczesnym świecie – wpływ tej tematyki na bezpieczeństwo lokalne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3. Instytucje bezpieczeństwa narodowego RP na poziomie centralnym, regionalnym, lokalnym – ogólna charakterystyka wyspecjalizowanych służb i ich usytuowanie w aparacie państwowym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4. Siły Zbrojne RP w systemie bezpieczeństwa RP – zapoznanie z problematyką ich funkcjonowania </w:t>
              <w:br/>
              <w:t>i analiza działalności obronnej RP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5.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Formacje policyjne i zabezpieczające na przykładzie działania Policji, Straży Granicznej, Państwowej Straży Pożarnej, Służby Celno-Skarbowej, Inspekcji Transportu Drogowego, Służby Więziennej, Straży Ochrony Kolei.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6.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Studium przypadku – działalność Centralnego Biura Śledczego Policji (CBŚP) i Centralnego Pododdziału  Kontrterrorystycznego Policji (BOA), Centralnego Biura Zwalczania Cyberprzestępczości (CBZC)  i  Centralnego Laboratorium Kryminalistycznego Policji CLKP) jako wyspecjalizowanych jednostek Policji do zadań specjalnych.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7. Krajowy System Ratowniczo – Gaśniczy i podmioty zaangażowane w jego funkcjonowanie.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8. Współdziałanie instytucji, służb i straży odpowiedzialnych za bezpieczeństwo i porządek publiczny ze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służbami  specjalnymi.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9.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Straże lokalne i sektorowe w systemie instytucji bezpieczeństwa wewnętrznego RP na przykładzie działalności wybranych regionalnie: Straży Miejskiej, Straży Leśnej, Państwowej Straży Rybackiej, Państwowej Straży Łowieckiej, Straży Parku Narodowego.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10. Problematyka działalności Służby Ochrony Państwa, Straży Marszałkowskiej, Straży Trybunału Konstytucyjnego, Oddziału Specjalnego Żandarmerii Wojskowej i Policji sądowej  - jako przykłady funkcjonowania służb ochrony władz.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11. „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Stop korupcji” – realizacja strategii antykorupcyjnej w instytucjach państwowych </w:t>
              <w:br/>
              <w:t>(ze szczególnym uwzględnieniem instytucji bezpieczeństwa i porządku publicznego).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>12.</w:t>
            </w:r>
            <w:r>
              <w:rPr>
                <w:rFonts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Rola współpracy międzynarodowej w zakresie zapewnienia bezpieczeństwa wewnętrznego na przykładzie funkcjonowania instytucji Pełnomocnika Granicznego Rzeczypospolitej Polskiej ze szczególnym uwzględnieniem aspektów bezpieczeństwa województwa lubelskiego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5"/>
        <w:gridCol w:w="2820"/>
        <w:gridCol w:w="2227"/>
        <w:gridCol w:w="2479"/>
      </w:tblGrid>
      <w:tr>
        <w:trPr/>
        <w:tc>
          <w:tcPr>
            <w:tcW w:w="15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4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konwersatoryjny, wykład problemowy, studium przypadku, dyskusja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z tekstem,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konwersatoryjny, wykład problemowy, studium przypadku, dyskusja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U_06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w grupach w różnych rolach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/>
          <w:b/>
        </w:rPr>
      </w:pPr>
      <w:r>
        <w:rPr>
          <w:b/>
        </w:rPr>
        <w:t xml:space="preserve">Metody (sposoby) oceny: </w:t>
      </w:r>
      <w:r>
        <w:rPr>
          <w:color w:val="000000"/>
          <w:spacing w:val="-2"/>
        </w:rPr>
        <w:t xml:space="preserve">  ocenianie ciągłe (bieżące przygotowanie do zajęć) praca semestralna, projekt, kontrola obecności</w:t>
      </w:r>
    </w:p>
    <w:p>
      <w:pPr>
        <w:pStyle w:val="Normal"/>
        <w:rPr/>
      </w:pPr>
      <w:r>
        <w:rPr>
          <w:b/>
          <w:color w:val="FF0000"/>
        </w:rPr>
        <w:t xml:space="preserve"> </w:t>
      </w:r>
      <w:r>
        <w:rPr>
          <w:b/>
        </w:rPr>
        <w:t xml:space="preserve">Typ oceny: </w:t>
      </w:r>
      <w:r>
        <w:rPr/>
        <w:t>formująca, podsumowująca</w:t>
      </w:r>
    </w:p>
    <w:p>
      <w:pPr>
        <w:pStyle w:val="Normal"/>
        <w:rPr>
          <w:color w:val="000000"/>
          <w:spacing w:val="-2"/>
        </w:rPr>
      </w:pPr>
      <w:r>
        <w:rPr>
          <w:b/>
        </w:rPr>
        <w:t>Forma dokumentacji:</w:t>
      </w:r>
      <w:r>
        <w:rPr/>
        <w:t xml:space="preserve"> </w:t>
      </w:r>
      <w:r>
        <w:rPr>
          <w:color w:val="000000"/>
          <w:spacing w:val="-2"/>
        </w:rPr>
        <w:t>punkty za przygotowanie projektu, referatu, prezentacji; lista obecności</w:t>
      </w:r>
    </w:p>
    <w:p>
      <w:pPr>
        <w:pStyle w:val="Normal"/>
        <w:spacing w:lineRule="auto" w:line="240" w:before="0" w:after="0"/>
        <w:jc w:val="both"/>
        <w:rPr>
          <w:b/>
          <w:b/>
          <w:color w:val="FF0000"/>
        </w:rPr>
      </w:pPr>
      <w:r>
        <w:rPr>
          <w:rFonts w:cs="Calibri" w:cstheme="minorHAnsi"/>
          <w:b/>
        </w:rPr>
        <w:t xml:space="preserve">Zaliczenie przedmiotu na ocenę: </w:t>
      </w:r>
      <w:r>
        <w:rPr>
          <w:rFonts w:cs="Calibri" w:cstheme="minorHAnsi"/>
        </w:rPr>
        <w:t xml:space="preserve">obecność na zajęciach, aktywność w dyskusjach, czytanie </w:t>
        <w:br/>
        <w:t xml:space="preserve">i znajomość literatury </w:t>
      </w:r>
      <w:r>
        <w:rPr>
          <w:rFonts w:eastAsia="Times New Roman" w:cs="Calibri" w:cstheme="minorHAnsi"/>
          <w:i/>
          <w:lang w:eastAsia="pl-PL"/>
        </w:rPr>
        <w:t xml:space="preserve">(odnotować należy, że zajęcia prowadzi doświadczony oficer (pułkownik rezerwy) Straży Granicznej) realizujący zajęcia dydaktyczne na wyższych uczelniach w Polsce </w:t>
        <w:br/>
        <w:t>od 1999r.)</w:t>
      </w:r>
      <w:r>
        <w:rPr>
          <w:b/>
          <w:color w:val="FF000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lineRule="auto" w:line="240" w:before="0" w:after="0"/>
              <w:ind w:left="284" w:hanging="284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Misiuk A., </w:t>
            </w:r>
            <w:r>
              <w:rPr>
                <w:rFonts w:eastAsia="Calibri"/>
                <w:i/>
                <w:kern w:val="0"/>
                <w:sz w:val="22"/>
                <w:szCs w:val="22"/>
                <w:lang w:val="pl-PL" w:eastAsia="en-US" w:bidi="ar-SA"/>
              </w:rPr>
              <w:t>Administracja porządku i bezpieczeństwa publicznego. Zagadnienia prawno-ustrojowe,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Warszawa 2008.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lineRule="auto" w:line="240" w:before="0" w:after="0"/>
              <w:ind w:left="284" w:hanging="284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Dobkowski J., </w:t>
            </w:r>
            <w:r>
              <w:rPr>
                <w:rFonts w:eastAsia="Calibri"/>
                <w:i/>
                <w:kern w:val="0"/>
                <w:sz w:val="22"/>
                <w:szCs w:val="22"/>
                <w:lang w:val="pl-PL" w:eastAsia="en-US" w:bidi="ar-SA"/>
              </w:rPr>
              <w:t>Pozycja prawnoustrojowa służb, inspekcji i straży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, Warszawa 2007.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lineRule="auto" w:line="240" w:before="0" w:after="0"/>
              <w:ind w:left="284" w:hanging="284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Paździor M., Szmulik B., (red.), </w:t>
            </w:r>
            <w:r>
              <w:rPr>
                <w:rFonts w:eastAsia="Calibri"/>
                <w:i/>
                <w:kern w:val="0"/>
                <w:sz w:val="22"/>
                <w:szCs w:val="22"/>
                <w:lang w:val="pl-PL" w:eastAsia="en-US" w:bidi="ar-SA"/>
              </w:rPr>
              <w:t>Instytucje bezpieczeństwa narodowego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, Warszawa 2012.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lineRule="auto" w:line="240" w:before="0" w:after="0"/>
              <w:ind w:left="284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M.Jurgilewicz,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Rola terenowych organów administracji publicznej w zapewnianiu bezpieczeństwa i porządku publicznego w Polsce,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Warszawa DIFIN 2023.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Dominiak M., Dubaj S., </w:t>
            </w:r>
            <w:r>
              <w:rPr>
                <w:rFonts w:eastAsia="Calibri" w:cs="Calibri" w:cstheme="minorHAnsi"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 xml:space="preserve">Nadbużański Oddział Straży Granicznej – współdziałanie z organami ochrony granic państwowych Ukrainy i Białorusi w kontekście przystąpienia Polski do Unii Europejskiej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[w:] 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>Bezpieczeństwo bez granic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, red.,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Ziółkowski J., Wyższa Szkoła Przedsiębiorczości i Administracji, Lublin 2004, s. 84-99.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Dominiak M., Dubaj S.,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Przestępczość graniczna zagrożeniem bezpieczeństwa i porządku publicznego – wybrane aspekty praktyczne na przykładzie Nadbużańskiego Oddziału Straży Granicznej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[w:]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Otwarcie granic rynku a perspektywa BYĆ I MIEĆ człowieka oraz narodu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red. Kuś A., Witkowski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P.,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KUL Lublin 2006.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Dubaj, S.,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Straż Graniczna – przystosowanie struktur organizacyjnych i zadań tej formacji po zniesieniu kontroli na granicach wewnętrznych Unii Europejskiej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[w:]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Polska w strefie Schengen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red. A.W. Bednaruk, M. Bielecki, G. Kowalski,  KUL Lublin 2010.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Dubaj S., Dominiak M.,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Organizacja obrony narodowej w sytuacji kryzysu i zagrożenia bezpieczeństwa państwa. Zadania Straży Granicznej w tym zakresie na przykładzie praktycznych działań realizowanych przez Nadbużański Oddział Straży Granicznej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Warszawa AON, 2004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5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 xml:space="preserve">.   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Pieprzny S., 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>Policja. Organizacja i funkcjonowanie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, Warszawa 2007.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6.   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 xml:space="preserve">Organizacja bezpieczeństwa lokalnego na przykładzie województwa lubelskiego. Wybrane  </w:t>
              <w:br/>
              <w:t xml:space="preserve">       problemy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 red., Gąska M., Lublin WSEI 2016.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7.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Dubaj S,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Ośrodki dla cudzoziemców w Polsce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[w:]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Rocznik Chełmski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Tom 26, 2022, s.125-156.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Ogólnodostępne wydawnictwa periodyczne - „Biuletyn Straży Granicznej”, „Magazyn 997”, „Służba Celna”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Zasób informacji w portalu Unii Europejskiej </w:t>
            </w:r>
            <w:hyperlink r:id="rId2">
              <w:r>
                <w:rPr>
                  <w:rStyle w:val="Czeinternetowe"/>
                  <w:rFonts w:eastAsia="Calibri" w:cs="Calibri" w:cstheme="minorHAnsi"/>
                  <w:color w:val="000000"/>
                  <w:kern w:val="0"/>
                  <w:sz w:val="22"/>
                  <w:szCs w:val="22"/>
                  <w:u w:val="none"/>
                  <w:lang w:val="pl-PL" w:eastAsia="en-US" w:bidi="ar-SA"/>
                </w:rPr>
                <w:t>www.europa.eu.int</w:t>
              </w:r>
            </w:hyperlink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oraz instytucji krajowych Ministerstwa Obrony Narodowej -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www.mon.gov,pl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; Ministerstwa Spraw Wewnętrznych i Administracji -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www.mswia.gov.pl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; Ministerstwa Finansów - </w:t>
            </w:r>
            <w:hyperlink r:id="rId3">
              <w:r>
                <w:rPr>
                  <w:rStyle w:val="Czeinternetowe"/>
                  <w:rFonts w:eastAsia="Calibri" w:cs="Calibri" w:cstheme="minorHAnsi"/>
                  <w:color w:val="000000"/>
                  <w:kern w:val="0"/>
                  <w:sz w:val="22"/>
                  <w:szCs w:val="22"/>
                  <w:u w:val="none"/>
                  <w:lang w:val="pl-PL" w:eastAsia="en-US" w:bidi="ar-SA"/>
                </w:rPr>
                <w:t>www.mf.gov.pl</w:t>
              </w:r>
            </w:hyperlink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; Służby Więziennej – www.sw.gov.pl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 i innych formacji, podawanych na bieżąco przez prowadzącego zajęcia.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iCs/>
                <w:color w:val="000000"/>
              </w:rPr>
            </w:pPr>
            <w:r>
              <w:rPr>
                <w:rFonts w:eastAsia="Calibri" w:cs="Calibri" w:cstheme="minorHAnsi"/>
                <w:bCs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Publikacje dostępne w Bibliotece KUL oraz w bibliotece działającego przy KUL – Instytutu na Rzecz Państwa Prawa (Lublin, ul.Chopina 14), którego prowadzący zajęcia jest aktywnym członkiem.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Akty prawne dostępne m.in. na stronie internetowej http://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isap.sejm.gov.pl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hyperlink r:id="rId4">
              <w:r>
                <w:rPr>
                  <w:rStyle w:val="Czeinternetowe"/>
                  <w:rFonts w:eastAsia="Calibri" w:cs="Calibri" w:cstheme="minorHAnsi"/>
                  <w:bCs/>
                  <w:color w:val="000000"/>
                  <w:kern w:val="0"/>
                  <w:sz w:val="22"/>
                  <w:szCs w:val="22"/>
                  <w:u w:val="none"/>
                  <w:lang w:val="pl-PL" w:eastAsia="en-US" w:bidi="ar-SA"/>
                </w:rPr>
                <w:t>www.rcl.gov.pl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Dostęp do aktów prawnych Unii Europejskiej,m.in. </w:t>
            </w:r>
            <w:hyperlink r:id="rId5">
              <w:r>
                <w:rPr>
                  <w:rStyle w:val="Czeinternetowe"/>
                  <w:rFonts w:eastAsia="Calibri" w:cs="Calibri" w:cstheme="minorHAnsi"/>
                  <w:bCs/>
                  <w:color w:val="000000"/>
                  <w:kern w:val="0"/>
                  <w:sz w:val="22"/>
                  <w:szCs w:val="22"/>
                  <w:u w:val="none"/>
                  <w:lang w:val="pl-PL" w:eastAsia="en-US" w:bidi="ar-SA"/>
                </w:rPr>
                <w:t>http://eur-lex.europa.eu</w:t>
              </w:r>
            </w:hyperlink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6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 xml:space="preserve"> 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d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be003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FootnoteCharacters" w:customStyle="1">
    <w:name w:val="Footnote Characters"/>
    <w:uiPriority w:val="99"/>
    <w:qFormat/>
    <w:rsid w:val="00146ff5"/>
    <w:rPr>
      <w:rFonts w:cs="Times New Roman"/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46ff5"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8b162c"/>
    <w:rPr>
      <w:rFonts w:ascii="Arial" w:hAnsi="Arial" w:eastAsia="Times New Roman" w:cs="Arial"/>
      <w:sz w:val="28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8b162c"/>
    <w:pPr>
      <w:spacing w:lineRule="auto" w:line="192" w:before="0" w:after="0"/>
    </w:pPr>
    <w:rPr>
      <w:rFonts w:ascii="Arial" w:hAnsi="Arial" w:eastAsia="Times New Roman" w:cs="Arial"/>
      <w:sz w:val="28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9f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be003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rsid w:val="00146ff5"/>
    <w:pPr>
      <w:widowControl w:val="false"/>
      <w:suppressLineNumbers/>
      <w:suppressAutoHyphens w:val="true"/>
      <w:overflowPunct w:val="false"/>
      <w:spacing w:lineRule="auto" w:line="240" w:before="0" w:after="0"/>
      <w:ind w:left="283" w:hanging="283"/>
      <w:textAlignment w:val="baseline"/>
    </w:pPr>
    <w:rPr>
      <w:rFonts w:ascii="Times New Roman" w:hAnsi="Times New Roman" w:eastAsia="Times New Roman" w:cs="Times New Roman"/>
      <w:kern w:val="2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uropa.eu.int/" TargetMode="External"/><Relationship Id="rId3" Type="http://schemas.openxmlformats.org/officeDocument/2006/relationships/hyperlink" Target="http://www.mf.gov.pl/" TargetMode="External"/><Relationship Id="rId4" Type="http://schemas.openxmlformats.org/officeDocument/2006/relationships/hyperlink" Target="http://www.rcl.gov.pl/" TargetMode="External"/><Relationship Id="rId5" Type="http://schemas.openxmlformats.org/officeDocument/2006/relationships/hyperlink" Target="http://eur-lex.europa.eu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554F-3E07-4466-831E-86BD81E6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LibreOffice/7.2.6.2$Windows_X86_64 LibreOffice_project/b0ec3a565991f7569a5a7f5d24fed7f52653d754</Application>
  <AppVersion>15.0000</AppVersion>
  <Pages>4</Pages>
  <Words>1196</Words>
  <Characters>8769</Characters>
  <CharactersWithSpaces>9839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2024-02-25T20:45:00Z</dcterms:created>
  <dc:creator>Anna Łukasiewicz</dc:creator>
  <dc:description/>
  <dc:language>pl-PL</dc:language>
  <cp:lastModifiedBy>STANISŁAW</cp:lastModifiedBy>
  <cp:lastPrinted>2019-01-23T11:10:00Z</cp:lastPrinted>
  <dcterms:modified xsi:type="dcterms:W3CDTF">2024-02-25T20:50:00Z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