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  <w:lang w:val="ru-RU"/>
        </w:rPr>
      </w:pPr>
      <w:r>
        <w:rPr>
          <w:rFonts w:cs="Calibri" w:cstheme="minorHAnsi"/>
          <w:b/>
        </w:rPr>
        <w:t xml:space="preserve">KARTA PRZEDMIOTU 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Dane podstawowe</w:t>
      </w:r>
    </w:p>
    <w:tbl>
      <w:tblPr>
        <w:tblStyle w:val="ad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5216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52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Współpraca Polski i Ukrainy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52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  <w:lang w:val="en-U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Cooperation between Poland and Ukraine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Kierunek studiów</w:t>
            </w:r>
          </w:p>
        </w:tc>
        <w:tc>
          <w:tcPr>
            <w:tcW w:w="52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52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52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52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Nauki i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52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ad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1"/>
        <w:gridCol w:w="5205"/>
      </w:tblGrid>
      <w:tr>
        <w:trPr/>
        <w:tc>
          <w:tcPr>
            <w:tcW w:w="4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52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Dr Iryna Pawlowska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ad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8"/>
        <w:gridCol w:w="2261"/>
        <w:gridCol w:w="2942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9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94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IV</w:t>
            </w:r>
          </w:p>
        </w:tc>
        <w:tc>
          <w:tcPr>
            <w:tcW w:w="29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9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9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9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9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9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9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9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9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9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9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9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ad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7535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7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Zainteresowanie tematyką;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Ogólna znajomość relacji polsko-ukraińskich.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Cele kształcenia dla przedmiotu </w:t>
      </w:r>
    </w:p>
    <w:tbl>
      <w:tblPr>
        <w:tblStyle w:val="ad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C1- przedstawienie głównych płaszczyzn współpracy pomiędzy Polską a Ukrainą</w:t>
            </w:r>
          </w:p>
        </w:tc>
      </w:tr>
      <w:tr>
        <w:trPr/>
        <w:tc>
          <w:tcPr>
            <w:tcW w:w="97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C2 – przedstawienie i szczegółowe omówienie głównych inicjatyw w ramach wzajemnej współpracy</w:t>
            </w:r>
          </w:p>
        </w:tc>
      </w:tr>
      <w:tr>
        <w:trPr/>
        <w:tc>
          <w:tcPr>
            <w:tcW w:w="97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C3- analiza i omówienie problemów we współpracy bilateralnej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Efekty uczenia się dla przedmiotu wraz z odniesieniem do efektów kierunkowych</w:t>
      </w:r>
    </w:p>
    <w:tbl>
      <w:tblPr>
        <w:tblStyle w:val="a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4"/>
        <w:gridCol w:w="2137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 rozumie istotę uwarunkowań stosunków międzynarodowych, w tym relacji polsko-ukraińskich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teorię i praktykę w zakresie funkcjonowania międzynarodowych systemów oraz instytucji społecznych i politycznych, zwłaszcza w zakresie wielowymiarowej współpracy Polski i Ukrainy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K_W05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Potrafi wykorzystywać zdobytą wiedzę teoretyczną do analizowania, diagnozowania, wyjaśniania oraz prognozowania kwestii współpracy Polski i Ukrainy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wykorzystywać oraz prawidłowo interpretować przepisy prawne w zakresie współpracy Polski i Ukrainy oraz potrafi rozwiązywać problemy w tym obszarze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K_U04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jest gotów do przestrzegania zasad etyki zawodowej oraz ich stosowania w zachowaniach mających na celu zapewnienie najwyższych standardów współpracy z innymi osobami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jest gotów do myślenia oraz działania w sposób przedsiębiorczy oraz prospołeczny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</w:tbl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Opis przedmiotu/ treści programowe</w:t>
      </w:r>
    </w:p>
    <w:tbl>
      <w:tblPr>
        <w:tblStyle w:val="a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Treści programowe przedmiotu obejmują wielowymiarową współpracę Polski i Ukrainy, zwłaszcza w wymiarze: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Politycznym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Transgranicznym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Bezpieczeństwa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Gospodarczym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Kulturalnym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Naukowym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Infrastrukturalnym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Instytucjonalnym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Dodatkowo treści programu obejmują zagadnienia problemów i wyzwań oraz efektywności podejmowanych inicjatyw w ramach współpracy bilateralnej; kwestii instytucjonalnych oraz narzędzi i instrumentów niezbędnych w realizacji wielowymiarowej współpracy obu państw.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</w:tbl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Metody realizacji i weryfikacji efektów uczenia się</w:t>
      </w:r>
    </w:p>
    <w:tbl>
      <w:tblPr>
        <w:tblStyle w:val="a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2"/>
        <w:gridCol w:w="2541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78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5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z tekstem, dyskusja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z tekstem, dyskusja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zliczenie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z tekstem, dyskusja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z tekstem, dyskusja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z tekstem, dyskusja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Kryteria oceny, wagi…</w:t>
      </w:r>
    </w:p>
    <w:p>
      <w:pPr>
        <w:pStyle w:val="Normal"/>
        <w:spacing w:lineRule="auto" w:line="24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Na ocenę końcową składają się następujące elementy: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 xml:space="preserve">Aktywność na zajęciach. Samodzielne przygotowanie tematów. </w:t>
      </w:r>
      <w:r>
        <w:rPr>
          <w:rFonts w:cs="Calibri" w:cstheme="minorHAnsi"/>
          <w:sz w:val="24"/>
          <w:szCs w:val="24"/>
        </w:rPr>
        <w:t xml:space="preserve">Ocena w oparciu o </w:t>
      </w:r>
      <w:r>
        <w:rPr>
          <w:rFonts w:cs="Calibri" w:cstheme="minorHAnsi"/>
          <w:sz w:val="24"/>
          <w:szCs w:val="24"/>
          <w:lang w:eastAsia="pl-PL"/>
        </w:rPr>
        <w:t xml:space="preserve">systematyczną obecność na zajęciach </w:t>
      </w:r>
      <w:r>
        <w:rPr>
          <w:rFonts w:cs="Calibri" w:cstheme="minorHAnsi"/>
          <w:sz w:val="24"/>
          <w:szCs w:val="24"/>
        </w:rPr>
        <w:t xml:space="preserve">aktywność na zajęciach i przygotowanie do zajęć na podstawie proponowanej literatury </w:t>
      </w:r>
      <w:r>
        <w:rPr>
          <w:rFonts w:cs="Calibri" w:cstheme="minorHAnsi"/>
          <w:sz w:val="24"/>
          <w:szCs w:val="24"/>
          <w:lang w:eastAsia="pl-PL"/>
        </w:rPr>
        <w:t>(20%)</w:t>
      </w:r>
      <w:r>
        <w:rPr>
          <w:rFonts w:cs="Calibri" w:cstheme="minorHAnsi"/>
          <w:sz w:val="24"/>
          <w:szCs w:val="24"/>
          <w:lang w:val="uk-UA" w:eastAsia="pl-PL"/>
        </w:rPr>
        <w:t>,</w:t>
      </w:r>
      <w:r>
        <w:rPr>
          <w:rFonts w:cs="Calibri" w:cstheme="minorHAnsi"/>
          <w:sz w:val="24"/>
          <w:szCs w:val="24"/>
        </w:rPr>
        <w:t xml:space="preserve"> udział w omówieniu wystąpienia kolegów, zwłaszcza zadawanie pytań przez studentów (30%); referat/ prezentacja (do 20 minut) na temat zgłoszony przez studentkę/studenta i wygłoszony podczas zajęć (50%). Zaliczenie ustne na podstawie omówienia eseju na jeden z zaproponowanych tematów.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lang w:eastAsia="pl-PL"/>
        </w:rPr>
      </w:pPr>
      <w:r>
        <w:rPr>
          <w:rFonts w:cs="Calibri" w:cstheme="minorHAnsi"/>
          <w:lang w:eastAsia="pl-PL"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Obciążenie pracą studenta</w:t>
      </w:r>
    </w:p>
    <w:tbl>
      <w:tblPr>
        <w:tblStyle w:val="a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kontaktowych z nauczycielem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Literatura</w:t>
      </w:r>
    </w:p>
    <w:tbl>
      <w:tblPr>
        <w:tblStyle w:val="ad"/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73"/>
      </w:tblGrid>
      <w:tr>
        <w:trPr/>
        <w:tc>
          <w:tcPr>
            <w:tcW w:w="101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101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A. Szeptycki, „</w:t>
            </w:r>
            <w:r>
              <w:rPr>
                <w:rFonts w:eastAsia="Calibri" w:cs="Calibri" w:cstheme="minorHAnsi"/>
                <w:bCs/>
                <w:color w:val="252525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Współczesne stosunki polsko-ukraińskie”, Warszawa,</w:t>
            </w:r>
            <w:r>
              <w:rPr>
                <w:rFonts w:eastAsia="Calibri" w:cs="Calibri" w:cstheme="minorHAnsi"/>
                <w:b/>
                <w:bCs/>
                <w:color w:val="252525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bCs/>
                <w:color w:val="252525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2023.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H. Borko,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pl-PL" w:eastAsia="en-US" w:bidi="ar-SA"/>
              </w:rPr>
              <w:t>Transformacja gospodarek Ukrainy, Białorusi oraz Litwy i jej implikacje dla stosunków gospodarczych z Polską : istota transformacji rynkowej, wschodnie gospodarcze sąsiedztwo Polski, współpraca ogólnoeuropejska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2008.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K. Jędraszczyk,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pl-PL" w:eastAsia="en-US" w:bidi="ar-SA"/>
              </w:rPr>
              <w:t>Strategiczne partnerstwo ukraińsko-polskie Polska w polityce niepodległej Ukrainy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Poznań 2010.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M. Żyła,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pl-PL" w:eastAsia="en-US" w:bidi="ar-SA"/>
              </w:rPr>
              <w:t>Polsko-ukraińska współpraca wojskowa w polityce bezpieczeństwa Polski,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Warszawa 2016.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false"/>
              <w:spacing w:lineRule="atLeast" w:line="392" w:before="161" w:after="161"/>
              <w:ind w:left="0" w:hanging="0"/>
              <w:jc w:val="left"/>
              <w:outlineLvl w:val="0"/>
              <w:rPr>
                <w:rFonts w:eastAsia="Times New Roman" w:cs="Calibri" w:cstheme="minorHAnsi"/>
                <w:color w:val="212529"/>
                <w:kern w:val="2"/>
                <w:lang w:val="uk-UA" w:eastAsia="ru-RU"/>
              </w:rPr>
            </w:pPr>
            <w:r>
              <w:rPr>
                <w:rFonts w:eastAsia="Times New Roman" w:cs="Calibri" w:cstheme="minorHAnsi"/>
                <w:bCs/>
                <w:i/>
                <w:color w:val="212529"/>
                <w:kern w:val="2"/>
                <w:sz w:val="22"/>
                <w:szCs w:val="22"/>
                <w:lang w:val="pl-PL" w:eastAsia="ru-RU" w:bidi="ar-SA"/>
              </w:rPr>
              <w:t>Raport Stan i perspektywy partnerstwa strategicznego Polski i Ukrainy. Punkt widzenia Polski i Ukrainy</w:t>
            </w:r>
            <w:r>
              <w:rPr>
                <w:rFonts w:eastAsia="Times New Roman" w:cs="Calibri" w:cstheme="minorHAnsi"/>
                <w:bCs/>
                <w:color w:val="212529"/>
                <w:kern w:val="2"/>
                <w:sz w:val="22"/>
                <w:szCs w:val="22"/>
                <w:lang w:val="uk-UA" w:eastAsia="ru-RU" w:bidi="ar-SA"/>
              </w:rPr>
              <w:t>,</w:t>
            </w:r>
            <w:r>
              <w:rPr>
                <w:rFonts w:eastAsia="Times New Roman" w:cs="Calibri" w:cstheme="minorHAnsi"/>
                <w:color w:val="212529"/>
                <w:kern w:val="2"/>
                <w:sz w:val="22"/>
                <w:szCs w:val="22"/>
                <w:lang w:val="pl-PL" w:eastAsia="ru-RU" w:bidi="ar-SA"/>
              </w:rPr>
              <w:t xml:space="preserve"> </w:t>
            </w:r>
            <w:r>
              <w:rPr>
                <w:rFonts w:eastAsia="Times New Roman" w:cs="Calibri" w:cstheme="minorHAnsi"/>
                <w:bCs/>
                <w:color w:val="212529"/>
                <w:kern w:val="0"/>
                <w:sz w:val="22"/>
                <w:szCs w:val="22"/>
                <w:lang w:val="pl-PL" w:eastAsia="ru-RU" w:bidi="ar-SA"/>
              </w:rPr>
              <w:t>Redakcja:</w:t>
            </w:r>
            <w:r>
              <w:rPr>
                <w:rFonts w:eastAsia="Times New Roman" w:cs="Calibri" w:cstheme="minorHAnsi"/>
                <w:b/>
                <w:bCs/>
                <w:color w:val="212529"/>
                <w:kern w:val="0"/>
                <w:sz w:val="22"/>
                <w:szCs w:val="22"/>
                <w:lang w:val="pl-PL" w:eastAsia="ru-RU" w:bidi="ar-SA"/>
              </w:rPr>
              <w:t xml:space="preserve"> </w:t>
            </w:r>
            <w:r>
              <w:rPr>
                <w:rFonts w:eastAsia="Times New Roman" w:cs="Calibri" w:cstheme="minorHAnsi"/>
                <w:color w:val="212529"/>
                <w:kern w:val="0"/>
                <w:sz w:val="22"/>
                <w:szCs w:val="22"/>
                <w:lang w:val="pl-PL" w:eastAsia="ru-RU" w:bidi="ar-SA"/>
              </w:rPr>
              <w:t>Marek Pietraś, Walenty Baluk, Hrigorii Perepelytsya</w:t>
            </w:r>
            <w:r>
              <w:rPr>
                <w:rFonts w:eastAsia="Times New Roman" w:cs="Calibri" w:cstheme="minorHAnsi"/>
                <w:color w:val="212529"/>
                <w:kern w:val="0"/>
                <w:sz w:val="22"/>
                <w:szCs w:val="22"/>
                <w:lang w:val="uk-UA" w:eastAsia="ru-RU" w:bidi="ar-SA"/>
              </w:rPr>
              <w:t>,</w:t>
            </w:r>
            <w:r>
              <w:rPr>
                <w:rFonts w:eastAsia="Times New Roman" w:cs="Calibri" w:cstheme="minorHAnsi"/>
                <w:color w:val="212529"/>
                <w:kern w:val="0"/>
                <w:sz w:val="22"/>
                <w:szCs w:val="22"/>
                <w:lang w:val="pl-PL" w:eastAsia="ru-RU" w:bidi="ar-SA"/>
              </w:rPr>
              <w:t xml:space="preserve"> Lublin 2022 pdf</w:t>
            </w:r>
          </w:p>
        </w:tc>
      </w:tr>
      <w:tr>
        <w:trPr/>
        <w:tc>
          <w:tcPr>
            <w:tcW w:w="101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101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J. Niczyporuk (red.),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pl-PL" w:eastAsia="en-US" w:bidi="ar-SA"/>
              </w:rPr>
              <w:t>Transgraniczna współpraca kulturalna polsko-ukraińska w Euroregionie Bug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Lublin 2014.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S. Dołzbłasz, Sieci współpracy transgranicznej na pograniczach</w:t>
            </w:r>
            <w:r>
              <w:rPr>
                <w:rFonts w:eastAsia="Calibri" w:cs="Calibri" w:cstheme="minorHAnsi"/>
                <w:i/>
                <w:iCs/>
                <w:color w:val="3A3A3A"/>
                <w:kern w:val="0"/>
                <w:sz w:val="22"/>
                <w:szCs w:val="22"/>
                <w:shd w:fill="F3F3F3" w:val="clear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pl-PL" w:eastAsia="en-US" w:bidi="ar-SA"/>
              </w:rPr>
              <w:t>Polski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Wrocław 2017.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Polskie pogranicza w procesie przemian, T. IV, Wrocław.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uk-UA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Stosunki polsko-ukraińskie. Próba bilansu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pod red. М. Pietraś, М. Мalyski, B. Surmacz, Lublin.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cs="Calibri" w:cstheme="minorHAnsi"/>
                <w:i/>
                <w:i/>
                <w:iCs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Euro 2012. Wyzwania graniczne dla Polski i Ukrainy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uk-UA" w:eastAsia="en-US" w:bidi="ar-SA"/>
              </w:rPr>
              <w:t>,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Warszawa.</w:t>
            </w:r>
          </w:p>
          <w:p>
            <w:pPr>
              <w:pStyle w:val="Tretekstu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Pogranicze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uk-UA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Polska-Ukraina.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uk-UA" w:eastAsia="en-US" w:bidi="ar-SA"/>
              </w:rPr>
              <w:t>Пограниччя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// Rocznik naukowy, nr 2009.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W. Gizicki, A. Podraza (red.),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pl-PL" w:eastAsia="en-US" w:bidi="ar-SA"/>
              </w:rPr>
              <w:t>Strategiczne partnerstwo Polski i Ukrainy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Lublin 2008.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W. Gizicki, A. Podraza (red.),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pl-PL" w:eastAsia="en-US" w:bidi="ar-SA"/>
              </w:rPr>
              <w:t>Granica Polski i Ukrainy : bariera czy szansa współpracy?,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Lublin 2008.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K. Gomółka,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pl-PL" w:eastAsia="en-US" w:bidi="ar-SA"/>
              </w:rPr>
              <w:t>Współpraca transgraniczna Polski z Republiką Ukrainy, Republiką Białorusi i Obwodem Kaliningradzkim Federacji Rosyjskiej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 Gdańska 2010.</w:t>
            </w:r>
            <w:bookmarkStart w:id="0" w:name="_GoBack"/>
            <w:bookmarkEnd w:id="0"/>
          </w:p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cs="Calibri" w:cstheme="minorHAnsi"/>
                <w:color w:val="231F20"/>
              </w:rPr>
            </w:pPr>
            <w:r>
              <w:rPr>
                <w:rFonts w:eastAsia="Calibri" w:cs="Calibri" w:cstheme="minorHAnsi"/>
                <w:iCs/>
                <w:color w:val="231F20"/>
                <w:kern w:val="0"/>
                <w:sz w:val="22"/>
                <w:szCs w:val="22"/>
                <w:lang w:val="pl-PL" w:eastAsia="en-US" w:bidi="ar-SA"/>
              </w:rPr>
              <w:t>Artur Drzewicki,</w:t>
            </w:r>
            <w:r>
              <w:rPr>
                <w:rFonts w:eastAsia="Calibri" w:cs="Calibri" w:cstheme="minorHAnsi"/>
                <w:color w:val="231F20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i/>
                <w:color w:val="231F20"/>
                <w:kern w:val="0"/>
                <w:sz w:val="22"/>
                <w:szCs w:val="22"/>
                <w:lang w:val="pl-PL" w:eastAsia="en-US" w:bidi="ar-SA"/>
              </w:rPr>
              <w:t>Stosunki z Ukrainą w sferze bezpieczeństwa: polski punkt widzenia, „Bezpieczeństwo narodowe”,</w:t>
            </w:r>
            <w:r>
              <w:rPr>
                <w:rFonts w:eastAsia="Calibri" w:cs="Calibri" w:cstheme="minorHAnsi"/>
                <w:color w:val="231F20"/>
                <w:kern w:val="0"/>
                <w:sz w:val="22"/>
                <w:szCs w:val="22"/>
                <w:lang w:val="pl-PL" w:eastAsia="en-US" w:bidi="ar-SA"/>
              </w:rPr>
              <w:t xml:space="preserve"> I-2011/17, s. 151-168. </w:t>
            </w:r>
            <w:r>
              <w:rPr>
                <w:rFonts w:eastAsia="Times New Roman" w:cs="Calibri" w:cstheme="minorHAnsi"/>
                <w:color w:val="212529"/>
                <w:kern w:val="0"/>
                <w:sz w:val="22"/>
                <w:szCs w:val="22"/>
                <w:lang w:val="pl-PL" w:eastAsia="ru-RU" w:bidi="ar-SA"/>
              </w:rPr>
              <w:t>pdf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eastAsia="Times New Roman" w:cs="Calibri" w:cstheme="minorHAnsi"/>
                <w:color w:val="212529"/>
                <w:lang w:eastAsia="ru-RU"/>
              </w:rPr>
            </w:pPr>
            <w:r>
              <w:rPr>
                <w:rFonts w:cs="Calibri" w:cstheme="minorHAnsi"/>
                <w:bCs/>
                <w:color w:val="231F20"/>
                <w:kern w:val="0"/>
                <w:sz w:val="22"/>
                <w:szCs w:val="22"/>
                <w:lang w:val="pl-PL" w:eastAsia="en-US" w:bidi="ar-SA"/>
              </w:rPr>
              <w:t xml:space="preserve">Natalia Kucińska, </w:t>
            </w:r>
            <w:r>
              <w:rPr>
                <w:rFonts w:cs="Calibri" w:cstheme="minorHAnsi"/>
                <w:bCs/>
                <w:i/>
                <w:color w:val="231F20"/>
                <w:kern w:val="0"/>
                <w:sz w:val="22"/>
                <w:szCs w:val="22"/>
                <w:lang w:val="pl-PL" w:eastAsia="en-US" w:bidi="ar-SA"/>
              </w:rPr>
              <w:t>Analiza bezpieczeństwa Polski ze względu</w:t>
            </w:r>
            <w:r>
              <w:rPr>
                <w:rFonts w:cs="Calibri" w:cstheme="minorHAnsi"/>
                <w:i/>
                <w:color w:val="231F20"/>
                <w:kern w:val="0"/>
                <w:sz w:val="22"/>
                <w:szCs w:val="22"/>
                <w:lang w:val="pl-PL" w:eastAsia="en-US" w:bidi="ar-SA"/>
              </w:rPr>
              <w:br/>
            </w:r>
            <w:r>
              <w:rPr>
                <w:rFonts w:cs="Calibri" w:cstheme="minorHAnsi"/>
                <w:bCs/>
                <w:i/>
                <w:color w:val="231F20"/>
                <w:kern w:val="0"/>
                <w:sz w:val="22"/>
                <w:szCs w:val="22"/>
                <w:lang w:val="pl-PL" w:eastAsia="en-US" w:bidi="ar-SA"/>
              </w:rPr>
              <w:t xml:space="preserve">na sąsiedztwo Ukrainy, </w:t>
            </w:r>
            <w:r>
              <w:rPr>
                <w:rFonts w:cs="Calibri" w:cstheme="minorHAnsi"/>
                <w:bCs/>
                <w:color w:val="231F20"/>
                <w:kern w:val="0"/>
                <w:sz w:val="22"/>
                <w:szCs w:val="22"/>
                <w:lang w:val="pl-PL" w:eastAsia="en-US" w:bidi="ar-SA"/>
              </w:rPr>
              <w:t xml:space="preserve">„Studia Bezpieczeństwa Nardowego </w:t>
            </w:r>
            <w:r>
              <w:rPr>
                <w:rFonts w:cs="Calibri" w:cstheme="minorHAnsi"/>
                <w:color w:val="231F20"/>
                <w:kern w:val="0"/>
                <w:sz w:val="22"/>
                <w:szCs w:val="22"/>
                <w:lang w:val="pl-PL" w:eastAsia="en-US" w:bidi="ar-SA"/>
              </w:rPr>
              <w:t xml:space="preserve">Instytut Bezpieczeństwa i Obronności”, </w:t>
              <w:br/>
              <w:t xml:space="preserve">Zeszyt 21 (2021), s.99-115. </w:t>
            </w:r>
            <w:r>
              <w:rPr>
                <w:rFonts w:eastAsia="Times New Roman" w:cs="Calibri" w:cstheme="minorHAnsi"/>
                <w:color w:val="212529"/>
                <w:kern w:val="0"/>
                <w:sz w:val="22"/>
                <w:szCs w:val="22"/>
                <w:lang w:val="pl-PL" w:eastAsia="ru-RU" w:bidi="ar-SA"/>
              </w:rPr>
              <w:t>Pdf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eastAsia="Times New Roman" w:cs="Calibri" w:cstheme="minorHAnsi"/>
                <w:color w:val="212529"/>
                <w:lang w:eastAsia="ru-RU"/>
              </w:rPr>
            </w:pPr>
            <w:r>
              <w:rPr>
                <w:rFonts w:cs="Calibri" w:cstheme="minorHAnsi"/>
                <w:iCs/>
                <w:color w:val="231F20"/>
                <w:kern w:val="0"/>
                <w:sz w:val="22"/>
                <w:szCs w:val="22"/>
                <w:lang w:val="pl-PL" w:eastAsia="en-US" w:bidi="ar-SA"/>
              </w:rPr>
              <w:t xml:space="preserve">Andrzej Wojtaszak, </w:t>
            </w:r>
            <w:r>
              <w:rPr>
                <w:rFonts w:cs="Calibri" w:cstheme="minorHAnsi"/>
                <w:i/>
                <w:color w:val="231F20"/>
                <w:kern w:val="0"/>
                <w:sz w:val="22"/>
                <w:szCs w:val="22"/>
                <w:lang w:val="pl-PL" w:eastAsia="en-US" w:bidi="ar-SA"/>
              </w:rPr>
              <w:t>Polskie i ukraińskie koncepcje bezpieczeństwa i współpracy w Europie środkowej i wschodniej w XXI w.,</w:t>
            </w:r>
            <w:r>
              <w:rPr>
                <w:rFonts w:cs="Calibri" w:cstheme="minorHAnsi"/>
                <w:color w:val="231F20"/>
                <w:kern w:val="0"/>
                <w:sz w:val="22"/>
                <w:szCs w:val="22"/>
                <w:lang w:val="pl-PL" w:eastAsia="en-US" w:bidi="ar-SA"/>
              </w:rPr>
              <w:t xml:space="preserve"> „Athenaeu</w:t>
            </w:r>
            <w:r>
              <w:rPr>
                <w:rFonts w:cs="Calibri" w:cstheme="minorHAnsi"/>
                <w:kern w:val="0"/>
                <w:sz w:val="22"/>
                <w:szCs w:val="22"/>
                <w:lang w:val="pl-PL" w:eastAsia="en-US" w:bidi="ar-SA"/>
              </w:rPr>
              <w:t>m"</w:t>
            </w:r>
            <w:r>
              <w:rPr>
                <w:rFonts w:cs="Calibri" w:cstheme="minorHAnsi"/>
                <w:color w:val="231F20"/>
                <w:kern w:val="0"/>
                <w:sz w:val="22"/>
                <w:szCs w:val="22"/>
                <w:lang w:val="pl-PL" w:eastAsia="en-US" w:bidi="ar-SA"/>
              </w:rPr>
              <w:t>vol. 74(2)/2022</w:t>
            </w:r>
            <w:r>
              <w:rPr>
                <w:rFonts w:cs="Calibri" w:cstheme="minorHAnsi"/>
                <w:b/>
                <w:bCs/>
                <w:color w:val="231F20"/>
                <w:kern w:val="0"/>
                <w:sz w:val="22"/>
                <w:szCs w:val="22"/>
                <w:lang w:val="pl-PL" w:eastAsia="en-US" w:bidi="ar-SA"/>
              </w:rPr>
              <w:t xml:space="preserve">, </w:t>
            </w:r>
            <w:r>
              <w:rPr>
                <w:rFonts w:cs="Calibri" w:cstheme="minorHAnsi"/>
                <w:color w:val="231F20"/>
                <w:kern w:val="0"/>
                <w:sz w:val="22"/>
                <w:szCs w:val="22"/>
                <w:lang w:val="pl-PL" w:eastAsia="en-US" w:bidi="ar-SA"/>
              </w:rPr>
              <w:t>ss. 63–78.</w:t>
            </w:r>
            <w:r>
              <w:rPr>
                <w:rFonts w:eastAsia="Times New Roman" w:cs="Calibri" w:cstheme="minorHAnsi"/>
                <w:color w:val="212529"/>
                <w:kern w:val="0"/>
                <w:sz w:val="22"/>
                <w:szCs w:val="22"/>
                <w:lang w:val="pl-PL" w:eastAsia="ru-RU" w:bidi="ar-SA"/>
              </w:rPr>
              <w:t xml:space="preserve"> Pdf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i/>
                <w:color w:val="000000"/>
                <w:kern w:val="0"/>
                <w:sz w:val="22"/>
                <w:szCs w:val="22"/>
                <w:lang w:val="pl-PL" w:eastAsia="en-US" w:bidi="ar-SA"/>
              </w:rPr>
              <w:t>O wojnie na Ukrainie i relacjach polsko-ukraińskich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, Komunikat z badań CBOS, Nr 131/2023</w:t>
            </w:r>
            <w:r>
              <w:rPr>
                <w:rFonts w:eastAsia="Times New Roman" w:cs="Calibri" w:cstheme="minorHAnsi"/>
                <w:color w:val="212529"/>
                <w:kern w:val="0"/>
                <w:sz w:val="22"/>
                <w:szCs w:val="22"/>
                <w:lang w:val="pl-PL" w:eastAsia="ru-RU" w:bidi="ar-SA"/>
              </w:rPr>
              <w:t xml:space="preserve"> Pdf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Style w:val="Czeinternetowe"/>
                <w:rFonts w:cs="Calibri" w:cstheme="minorHAnsi"/>
                <w:lang w:val="uk-UA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ru-RU" w:bidi="ar-SA"/>
              </w:rPr>
              <w:t>Oleksandr Bilak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uk-UA" w:eastAsia="ru-RU" w:bidi="ar-SA"/>
              </w:rPr>
              <w:t>,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ru-RU" w:bidi="ar-SA"/>
              </w:rPr>
              <w:t xml:space="preserve"> </w:t>
            </w:r>
            <w:r>
              <w:rPr>
                <w:rFonts w:eastAsia="Times New Roman" w:cs="Calibri" w:cstheme="minorHAnsi"/>
                <w:bCs/>
                <w:i/>
                <w:color w:val="000000"/>
                <w:kern w:val="0"/>
                <w:sz w:val="22"/>
                <w:szCs w:val="22"/>
                <w:lang w:val="pl-PL" w:eastAsia="ru-RU" w:bidi="ar-SA"/>
              </w:rPr>
              <w:t>Stosunki ukraińsko-polskie w nowoczesnych warunkach</w:t>
            </w:r>
            <w:r>
              <w:rPr>
                <w:rFonts w:eastAsia="Times New Roman" w:cs="Calibri" w:cstheme="minorHAnsi"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,</w:t>
            </w:r>
            <w:r>
              <w:rPr>
                <w:rFonts w:eastAsia="Times New Roman" w:cs="Calibri" w:cstheme="minorHAnsi"/>
                <w:bCs/>
                <w:color w:val="000000"/>
                <w:kern w:val="0"/>
                <w:sz w:val="22"/>
                <w:szCs w:val="22"/>
                <w:lang w:val="pl-PL" w:eastAsia="ru-RU" w:bidi="ar-SA"/>
              </w:rPr>
              <w:t xml:space="preserve"> </w:t>
            </w:r>
            <w:hyperlink r:id="rId2">
              <w:r>
                <w:rPr>
                  <w:rStyle w:val="Czeinternetowe"/>
                  <w:rFonts w:eastAsia="Calibri" w:cs="Calibri" w:cstheme="minorHAnsi"/>
                  <w:kern w:val="0"/>
                  <w:sz w:val="22"/>
                  <w:szCs w:val="22"/>
                  <w:lang w:val="pl-PL" w:eastAsia="en-US" w:bidi="ar-SA"/>
                </w:rPr>
                <w:t>https://www.forum-ekonomiczne.pl/stosunki-ukrainsko-polskie-w-nowoczesnych-warunkach/</w:t>
              </w:r>
            </w:hyperlink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eastAsia="Times New Roman" w:cs="Calibri" w:cstheme="minorHAnsi"/>
                <w:color w:val="212529"/>
                <w:lang w:eastAsia="ru-RU"/>
              </w:rPr>
            </w:pPr>
            <w:r>
              <w:rPr>
                <w:rFonts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Magdalena Rudnicka</w:t>
            </w:r>
            <w:r>
              <w:rPr>
                <w:rFonts w:cs="Calibri" w:cstheme="minorHAnsi"/>
                <w:bCs/>
                <w:i/>
                <w:kern w:val="0"/>
                <w:sz w:val="22"/>
                <w:szCs w:val="22"/>
                <w:lang w:val="pl-PL" w:eastAsia="en-US" w:bidi="ar-SA"/>
              </w:rPr>
              <w:t xml:space="preserve">, </w:t>
            </w:r>
            <w:r>
              <w:rPr>
                <w:rFonts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Stosunki z Ukrainą w sferze bezpieczeństwa – Polski punkt widzenia</w:t>
            </w:r>
            <w:r>
              <w:rPr>
                <w:rFonts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, „PROSOPON. Europejskie Studia Społeczno-Humanistyczne”, 23 (2) 2018, s. 153-161. </w:t>
            </w:r>
            <w:r>
              <w:rPr>
                <w:rFonts w:eastAsia="Times New Roman" w:cs="Calibri" w:cstheme="minorHAnsi"/>
                <w:color w:val="212529"/>
                <w:kern w:val="0"/>
                <w:sz w:val="22"/>
                <w:szCs w:val="22"/>
                <w:lang w:val="pl-PL" w:eastAsia="ru-RU" w:bidi="ar-SA"/>
              </w:rPr>
              <w:t>Pdf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Andrzej Szeptycki, </w:t>
            </w:r>
            <w:r>
              <w:rPr>
                <w:rFonts w:eastAsia="Calibri" w:cs="Calibri" w:cstheme="minorHAnsi"/>
                <w:bCs/>
                <w:i/>
                <w:kern w:val="0"/>
                <w:sz w:val="22"/>
                <w:szCs w:val="22"/>
                <w:lang w:val="pl-PL" w:eastAsia="en-US" w:bidi="ar-SA"/>
              </w:rPr>
              <w:t>Stosunki polsko-ukraińskie: ku nowemu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bCs/>
                <w:i/>
                <w:kern w:val="0"/>
                <w:sz w:val="22"/>
                <w:szCs w:val="22"/>
                <w:lang w:val="pl-PL" w:eastAsia="en-US" w:bidi="ar-SA"/>
              </w:rPr>
              <w:t>„strategicznemu partnerstwu”?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, Komentarz, Fundacja im. Stefana Batorego </w:t>
            </w:r>
            <w:r>
              <w:rPr>
                <w:rFonts w:eastAsia="Times New Roman" w:cs="Calibri" w:cstheme="minorHAnsi"/>
                <w:color w:val="212529"/>
                <w:kern w:val="0"/>
                <w:sz w:val="22"/>
                <w:szCs w:val="22"/>
                <w:lang w:val="pl-PL" w:eastAsia="ru-RU" w:bidi="ar-SA"/>
              </w:rPr>
              <w:t>Pdf.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Мateriały zespołu wschodniego Instytutu Europy Środkowej </w:t>
            </w:r>
            <w:hyperlink r:id="rId3">
              <w:r>
                <w:rPr>
                  <w:rStyle w:val="Czeinternetowe"/>
                  <w:rFonts w:eastAsia="Calibri" w:cs="Calibri" w:cstheme="minorHAnsi"/>
                  <w:kern w:val="0"/>
                  <w:sz w:val="22"/>
                  <w:szCs w:val="22"/>
                  <w:lang w:val="pl-PL" w:eastAsia="en-US" w:bidi="ar-SA"/>
                </w:rPr>
                <w:t>https://ies.lublin.pl/</w:t>
              </w:r>
            </w:hyperlink>
          </w:p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Мateriały Ośrodka studiów Wschodnich </w:t>
            </w:r>
            <w:hyperlink r:id="rId4">
              <w:r>
                <w:rPr>
                  <w:rStyle w:val="Czeinternetowe"/>
                  <w:rFonts w:eastAsia="Calibri" w:cs="Calibri" w:cstheme="minorHAnsi"/>
                  <w:kern w:val="0"/>
                  <w:sz w:val="22"/>
                  <w:szCs w:val="22"/>
                  <w:lang w:val="pl-PL" w:eastAsia="en-US" w:bidi="ar-SA"/>
                </w:rPr>
                <w:t>https://www.osw.waw.pl/pl</w:t>
              </w:r>
            </w:hyperlink>
          </w:p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Мateriały PISМ </w:t>
            </w:r>
            <w:hyperlink r:id="rId5">
              <w:r>
                <w:rPr>
                  <w:rStyle w:val="Czeinternetowe"/>
                  <w:rFonts w:eastAsia="Calibri" w:cs="Calibri" w:cstheme="minorHAnsi"/>
                  <w:kern w:val="0"/>
                  <w:sz w:val="22"/>
                  <w:szCs w:val="22"/>
                  <w:lang w:val="pl-PL" w:eastAsia="en-US" w:bidi="ar-SA"/>
                </w:rPr>
                <w:t>https://www.pism.pl/</w:t>
              </w:r>
            </w:hyperlink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/>
      </w:r>
    </w:p>
    <w:sectPr>
      <w:headerReference w:type="default" r:id="rId6"/>
      <w:type w:val="nextPage"/>
      <w:pgSz w:w="11906" w:h="16838"/>
      <w:pgMar w:left="1417" w:right="707" w:gutter="0" w:header="708" w:top="993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10"/>
    <w:uiPriority w:val="9"/>
    <w:qFormat/>
    <w:rsid w:val="004678c2"/>
    <w:pPr>
      <w:suppressAutoHyphens w:val="false"/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c946fb"/>
    <w:rPr>
      <w:color w:val="0000FF" w:themeColor="hyperlink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yle13" w:customStyle="1">
    <w:name w:val="Нижний колонтитул Знак"/>
    <w:basedOn w:val="DefaultParagraphFont"/>
    <w:link w:val="a4"/>
    <w:uiPriority w:val="99"/>
    <w:qFormat/>
    <w:rsid w:val="00b04272"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1" w:customStyle="1">
    <w:name w:val="Заголовок 1 Знак"/>
    <w:basedOn w:val="DefaultParagraphFont"/>
    <w:link w:val="1"/>
    <w:uiPriority w:val="9"/>
    <w:qFormat/>
    <w:rsid w:val="004678c2"/>
    <w:rPr>
      <w:rFonts w:ascii="Times New Roman" w:hAnsi="Times New Roman" w:eastAsia="Times New Roman" w:cs="Times New Roman"/>
      <w:b/>
      <w:bCs/>
      <w:kern w:val="2"/>
      <w:sz w:val="48"/>
      <w:szCs w:val="48"/>
      <w:lang w:val="ru-RU" w:eastAsia="ru-RU"/>
    </w:rPr>
  </w:style>
  <w:style w:type="character" w:styleId="Strong">
    <w:name w:val="Strong"/>
    <w:basedOn w:val="DefaultParagraphFont"/>
    <w:uiPriority w:val="22"/>
    <w:qFormat/>
    <w:rsid w:val="004678c2"/>
    <w:rPr>
      <w:b/>
      <w:bCs/>
    </w:rPr>
  </w:style>
  <w:style w:type="paragraph" w:styleId="Nagwek" w:customStyle="1">
    <w:name w:val="Nagłówek"/>
    <w:basedOn w:val="Normal"/>
    <w:next w:val="Tretekstu"/>
    <w:link w:val="NagwekZna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a3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32e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orum-ekonomiczne.pl/stosunki-ukrainsko-polskie-w-nowoczesnych-warunkach/" TargetMode="External"/><Relationship Id="rId3" Type="http://schemas.openxmlformats.org/officeDocument/2006/relationships/hyperlink" Target="https://ies.lublin.pl/" TargetMode="External"/><Relationship Id="rId4" Type="http://schemas.openxmlformats.org/officeDocument/2006/relationships/hyperlink" Target="https://www.osw.waw.pl/pl" TargetMode="External"/><Relationship Id="rId5" Type="http://schemas.openxmlformats.org/officeDocument/2006/relationships/hyperlink" Target="https://www.pism.pl/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ED12-7241-4852-B268-5D36A03B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LibreOffice/7.2.6.2$Windows_X86_64 LibreOffice_project/b0ec3a565991f7569a5a7f5d24fed7f52653d754</Application>
  <AppVersion>15.0000</AppVersion>
  <Pages>4</Pages>
  <Words>819</Words>
  <Characters>5946</Characters>
  <CharactersWithSpaces>6600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2023-06-29T17:34:00Z</dcterms:created>
  <dc:creator>Anna Łukasiewicz</dc:creator>
  <dc:description/>
  <dc:language>pl-PL</dc:language>
  <cp:lastModifiedBy>Irina</cp:lastModifiedBy>
  <cp:lastPrinted>2019-01-23T11:10:00Z</cp:lastPrinted>
  <dcterms:modified xsi:type="dcterms:W3CDTF">2024-02-25T17:04:00Z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