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2021/2022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energetyczne Europy Środkowej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Energy security of Central Europe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Studia I stopnia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Studia 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społeczne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527"/>
      </w:tblGrid>
      <w:tr>
        <w:trPr/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Kamila Sobieraj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Rok III - Semestr VI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W1 - posiadanie podstawowej wiedzy, umiejętności i kompetencji społecznych z zakresu struktury sektora energetycznego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W2- posiadanie podstawowej wiedzy, umiejętności i kompetencji społecznych z zakresu funkcjonowania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gospodarki energetycznej oraz paliw i ich wykorzystania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C1- Zdobycie wiedzy w zakresie kształtowania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bezpieczeństwa złożonych systemów energetycznych oraz zapoznanie z prognozami zmian w obszarze energetyki w Europie Środkowej zwiększających niezawodność dostaw energii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C2 -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Zapoznanie z zagadnieniami dotyczącymi niezawodności i wystarczalności systemu elektroenergetycznego państw Europy Środkowej, pewności zasilania odbiorców końcowych oraz awarii systemowych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C3- Przekazanie wiedzy praktycznej nt.  struktury międzynarodowych i krajowych organów i instytucji posiadających kompetencje i zadania w zakresie zapewnienia bezpieczeństwa energetycznego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C4 – Zapoznanie z podstawowymi unijnymi i krajowymi regulacjami prawnymi dotyczącymi instrumentów wdrażania bezpieczeństwa energetycznego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Zna i wskazuje polityczne, gospodarcze i środowiskowe uwarunkowania zapewnienia bezpieczeństwa energetycznego Europy Środkowej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Opisuje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zagrożenia i działania w obszarze bezpieczeństwa energetycznego</w:t>
            </w: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 państw 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Europy Środkowej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Zna  i tłumaczy złożoność prowadzonych badań nad bezpieczeństwem energetycznym Europy Środkowej, orientuje się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najnowszych trendach rozwojowych energetyki dotyczących zwiększania bezpieczeństwa energetycznego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 Europy Środkowej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Wymienia międzynarodowe i krajowe organy i instytucje posiadające kompetencje i zadania w zakresie zapewnienia bezpieczeństwa energetycznego.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Identyfikuje 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t>regulacje prawne, organizacyjne i ekonomiczne kształtujące bezpieczeństwo energetyczne Europy Środkowej, wyjaśnia wpływ globalnego, międzynarodowego i unijnego bezpieczeństwa energetycznego na zapewnienie  bezpieczeństwa energetycznego w Europie Środkowej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Potrafi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analizować aktualną sytuację polityczną i proponować kierunki działań zwiększające bezpieczeństwo energetyczne Europy Środkowej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Potrafi wykorzystać wiedzę teoretyczną w celu budowania strategii działań na rzecz bezpieczeństwa energetycznego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Europy Środkowej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Potrafi </w:t>
            </w: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wykorzystywać pogłębioną wiedzę teoretyczną w rozwiązywaniu problemów środowiskowych (głównie zmian klimatu) związanych z działaniami na rzecz zapewnienia stałych dostaw energii.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Potrafi ocenić wpływ energetyki na środowisko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Potrafi  prawidłowo interpretować regulacje prawne z zakresu zapewnienia bezpieczeństwa energetycznego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Potrafi prawidłowo oceniać zagrożenia dla bezpieczeństwa energetycznego Europy Środkowej, a także identyfikować ich przyczyny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Posiada umiejętność przygotowania merytorycznego wypowiedzenia się z wykorzystaniem poglądów innych autorów w tym stawiać tezy, trafnie formułować wnioski oraz tworzyć syntetyczne podsumowania i oceny wybranych problemów z zakresu bezpieczeństwa energetycznego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Europy Środkowej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Potrafi samodzielnie zdobywać i doskonalić wiedzę i umiejętności z dziedziny polityki i bezpieczeństwa energetycznego oraz ukierunkowywać inne osoby w tym zakresie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Potrafi posługiwać się zasadami i normami etycznymi w podejmowanej działalności. M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 świadomość konieczności podejmowania działań zmierzających do zwiększania bezpieczeństwa elektroenergetycznego, jednocześnie rozumie pozatechniczne aspekty i skutki związane z funkcjonowaniem energetyki, w tym jej wpływ na środowisko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Potrafi dokonywać oceny i samooceny wiedzy w zakresie polityki i bezpieczeństwa energetycznego Europy Środkowej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Zakres pojęcia bezpieczeństwa energetycznego.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Obecne wyzwania sektora energetycznego. 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Zrównoważona polityka energetyczna.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Czynniki wpływające na bezpieczeństwo energetyczne. Czynniki kształtujące sytuację energetyczną wybranych państw Europy Środkowej (struktura bilansu energetycznego, struktura surowców, infrastruktura importowa, założenia polityki energetycznej). Międzynarodowa współpraca w zakresie bezpieczeństwa energetycznego i jej wpływ na bezpieczeństwo energetyczne Europy Środkowej. Działania na rzecz bezpieczeństwa energetycznego na szczeblu UE i ich wpływ na bezpieczeństwo energetyczne Europy Środkowej. Unijne instrumenty prawne zapewniające bezpieczeństwo energetyczne państw członkowskich.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Bezpieczeństwo Europy Środkowej w kontekście polityki energetycznej Federacji Rosyjskiej. Dywersyfikacja źródeł energii. Gazociągi podmorskie w polityce bezpieczeństwa energetycznego północnej części Europy Środkowej. Bezpieczeństwo transportu ropy naftowej na Morzu Bałtyckim. Cele i kierunki działań Polityki energetycznej Polski. Podstawowe akty prawa polskiego w zakresie bezpieczeństwa energetycznego. 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 xml:space="preserve">Struktura, kompetencje i zadania krajowych organów i instytucji w zakresie zapewnienia bezpieczeństwa energetycznego.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Import skroplonego gazu ziemnego – szanse i zagrożenia. Odnawialne źródła energii jako alternatywa dla kopalnych źródeł energii. </w:t>
            </w: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System handlu uprawnień do emisji gazów cieplarnianych. Czyste technologie węglowe. Efektywność energetyczna. Uwarunkowania prawno-środowiskowe rozwoju energetyki jądrowej. Energetyka wodorowa.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wykład problemowy, dyskusja, metoda metaplanu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obserwacja, egzamin pisemny, kolokwium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uzupełniony i oceniony sprawdzian pisemny, karta oceny,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wykład problemowy, dyskusja, metoda metaplanu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obserwacja, egzamin pisemny, kolokwium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uzupełniony i oceniony sprawdzian pisemny, karta oceny,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wykład problemowy, dyskusja, metoda metaplanu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obserwacja, egzamin pisemny, kolokwium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uzupełniony i oceniony sprawdzian pisemny, karta oceny,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lang w:val="pl-PL" w:eastAsia="pl-PL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wykład problemowy, dyskusja, metoda metaplanu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obserwacja, egzamin pisemny, kolokwium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uzupełniony i oceniony sprawdzian pisemny, karta oceny,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lang w:val="pl-PL" w:eastAsia="pl-PL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wykład problemowy, dyskusja, metoda metaplanu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obserwacja, egzamin pisemny, kolokwium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uzupełniony i oceniony sprawdzian pisemny, karta oceny, uzupełnione i ocenione kolokwium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dyskusja, gra dydaktyczna, studium przypadku (case study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obserwacja, egzamin pisemny, referat, kolokwium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uzupełniony i oceniony sprawdzian pisemny, karta oceny, plik z referatem,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metoda metaplanu, metoda obserwacji i pomiaru w terenie, metoda SWOT, burza mózgów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obserwacja, referat, kolokwium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karta oceny, plik z referatem,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dyskusja, gra dydaktyczna, studium przypadku (case study)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obserwacja, sprawdzenie umiejętności praktycznych, referat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karta oceny, plik z referatem,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dyskusja, gra dydaktyczna, studium przypadku (case study)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obserwacja, sprawdzenie umiejętności praktycznych, referat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karta oceny, plik z referatem,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dyskusja, gra dydaktyczna, studium przypadku (case study)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obserwacja, sprawdzenie umiejętności praktycznych, referat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karta oceny, plik z referatem,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dyskusja, gra dydaktyczna, studium przypadku (case study)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obserwacja, sprawdzenie umiejętności praktycznych, referat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karta oceny, plik z referatem, uzupełnione i ocenione kolokwium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dyskusja, gra dydaktyczna, studium przypadku (case study)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obserwacja, sprawdzenie umiejętności praktycznych, referat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karta oceny, plik z referatem, uzupełnione i ocenione kolokwium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metoda obserwacji metoda problemowa, dyskusja, metoda sokratyczna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obserwacja, referat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karta oceny, plik z referatem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lang w:val="pl-PL" w:eastAsia="pl-PL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metoda obserwacji metoda problemowa, dyskusja, metoda sokratyczna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lang w:val="pl-PL" w:eastAsia="pl-PL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obserwacja, referat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lang w:val="pl-PL" w:eastAsia="pl-PL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pl-PL" w:bidi="ar-SA"/>
              </w:rPr>
              <w:t>karta oceny, plik z referatem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Normal"/>
        <w:tabs>
          <w:tab w:val="clear" w:pos="708"/>
          <w:tab w:val="left" w:pos="2025" w:leader="none"/>
        </w:tabs>
        <w:spacing w:lineRule="exact" w:line="276"/>
        <w:ind w:left="360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Warunkiem zaliczenia jest uzyskanie pozytywnych ocen z końcowego testu pisemnego (70% oceny) oraz aktywny udział studenta podczas zajęć (odpowiadanie na pytania, udział w dyskusji, udział w rozwiązywaniu </w:t>
      </w:r>
      <w:r>
        <w:rPr>
          <w:rFonts w:cs="Times New Roman"/>
          <w:i/>
          <w:color w:val="000000"/>
        </w:rPr>
        <w:t>case study</w:t>
      </w:r>
      <w:r>
        <w:rPr>
          <w:rFonts w:cs="Times New Roman"/>
          <w:color w:val="000000"/>
        </w:rPr>
        <w:t xml:space="preserve">) (30% oceny). Warunkiem uzyskania oceny dostatecznej z testu pisemnego jest udzielenie co najmniej 51% poprawnych odpowiedzi, oceny dobrej co najmniej 71%, a oceny bardzo dobrej co najmniej 90%. Dodatkowo, aby uzyskać ocenę dobrą student powinien wykazać się aktywnością na zięciach, a bardzo dobrą – brać aktywny udział w większości zajęć. </w:t>
      </w:r>
    </w:p>
    <w:p>
      <w:pPr>
        <w:pStyle w:val="Normal"/>
        <w:spacing w:lineRule="exact" w:line="276" w:before="0" w:after="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bCs/>
          <w:color w:val="000000"/>
        </w:rPr>
        <w:t>Ocena niedostateczna</w:t>
      </w:r>
      <w:r>
        <w:rPr>
          <w:color w:val="000000"/>
        </w:rPr>
        <w:t>:</w:t>
      </w:r>
    </w:p>
    <w:p>
      <w:pPr>
        <w:pStyle w:val="Normal"/>
        <w:spacing w:lineRule="exact" w:line="276" w:before="0" w:after="0"/>
        <w:jc w:val="both"/>
        <w:rPr/>
      </w:pPr>
      <w:r>
        <w:rPr>
          <w:color w:val="000000"/>
        </w:rPr>
        <w:t xml:space="preserve">      </w:t>
      </w:r>
      <w:r>
        <w:rPr/>
        <w:t xml:space="preserve">brak osiągnięcia zakładanych efektów uczenia się </w:t>
      </w:r>
    </w:p>
    <w:p>
      <w:pPr>
        <w:pStyle w:val="Normal"/>
        <w:spacing w:lineRule="exact" w:line="276" w:before="0" w:after="0"/>
        <w:jc w:val="both"/>
        <w:rPr>
          <w:color w:val="000000"/>
        </w:rPr>
      </w:pPr>
      <w:r>
        <w:rPr/>
        <w:t xml:space="preserve">      </w:t>
      </w:r>
      <w:r>
        <w:rPr/>
        <w:t>&lt;50%</w:t>
      </w:r>
      <w:r>
        <w:rPr>
          <w:color w:val="000000"/>
        </w:rPr>
        <w:t xml:space="preserve">    </w:t>
      </w:r>
    </w:p>
    <w:p>
      <w:pPr>
        <w:pStyle w:val="Normal"/>
        <w:spacing w:lineRule="exact" w:line="276" w:before="0" w:after="0"/>
        <w:jc w:val="both"/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Normal"/>
        <w:spacing w:lineRule="exact" w:line="276" w:before="0" w:after="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bCs/>
          <w:color w:val="000000"/>
        </w:rPr>
        <w:t>Ocena dostateczna</w:t>
      </w:r>
      <w:r>
        <w:rPr>
          <w:color w:val="000000"/>
        </w:rPr>
        <w:t>:</w:t>
      </w:r>
    </w:p>
    <w:p>
      <w:pPr>
        <w:pStyle w:val="Normal"/>
        <w:spacing w:lineRule="exact" w:line="276" w:before="0" w:after="0"/>
        <w:jc w:val="both"/>
        <w:rPr/>
      </w:pPr>
      <w:r>
        <w:rPr>
          <w:color w:val="000000"/>
        </w:rPr>
        <w:t xml:space="preserve">      </w:t>
      </w:r>
      <w:r>
        <w:rPr/>
        <w:t xml:space="preserve">osiągnięcie zakładanych efektów uczenia się z pominięciem niektórych ważnych aspektów lub z   </w:t>
      </w:r>
    </w:p>
    <w:p>
      <w:pPr>
        <w:pStyle w:val="Normal"/>
        <w:spacing w:lineRule="exact" w:line="276" w:before="0" w:after="0"/>
        <w:jc w:val="both"/>
        <w:rPr/>
      </w:pPr>
      <w:r>
        <w:rPr/>
        <w:t xml:space="preserve">      </w:t>
      </w:r>
      <w:r>
        <w:rPr/>
        <w:t xml:space="preserve">poważnymi nieścisłościami </w:t>
      </w:r>
    </w:p>
    <w:p>
      <w:pPr>
        <w:pStyle w:val="Normal"/>
        <w:spacing w:lineRule="exact" w:line="276" w:before="0" w:after="0"/>
        <w:jc w:val="both"/>
        <w:rPr>
          <w:color w:val="000000"/>
        </w:rPr>
      </w:pPr>
      <w:r>
        <w:rPr>
          <w:rFonts w:cs="Calibri" w:cstheme="minorHAnsi"/>
        </w:rPr>
        <w:t xml:space="preserve">      ≥</w:t>
      </w:r>
      <w:r>
        <w:rPr/>
        <w:t>50-69%</w:t>
      </w:r>
    </w:p>
    <w:p>
      <w:pPr>
        <w:pStyle w:val="Normal"/>
        <w:spacing w:lineRule="exact" w:line="276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76" w:before="0" w:after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Ocena dobra</w:t>
      </w:r>
      <w:r>
        <w:rPr>
          <w:color w:val="000000"/>
        </w:rPr>
        <w:t xml:space="preserve">: </w:t>
      </w:r>
    </w:p>
    <w:p>
      <w:pPr>
        <w:pStyle w:val="Normal"/>
        <w:spacing w:lineRule="exact" w:line="276" w:before="0" w:after="0"/>
        <w:jc w:val="both"/>
        <w:rPr/>
      </w:pPr>
      <w:r>
        <w:rPr/>
        <w:t xml:space="preserve">     </w:t>
      </w:r>
      <w:r>
        <w:rPr/>
        <w:t xml:space="preserve">osiągnięcie zakładanych efektów uczenia się z pominięciem niektórych mniej istotnych aspektów </w:t>
      </w:r>
    </w:p>
    <w:p>
      <w:pPr>
        <w:pStyle w:val="Normal"/>
        <w:spacing w:lineRule="exact" w:line="276" w:before="0" w:after="0"/>
        <w:jc w:val="both"/>
        <w:rPr>
          <w:color w:val="000000"/>
        </w:rPr>
      </w:pPr>
      <w:r>
        <w:rPr>
          <w:rFonts w:cs="Calibri" w:cstheme="minorHAnsi"/>
        </w:rPr>
        <w:t xml:space="preserve">     ≥</w:t>
      </w:r>
      <w:r>
        <w:rPr/>
        <w:t>70-89%</w:t>
      </w:r>
    </w:p>
    <w:p>
      <w:pPr>
        <w:pStyle w:val="Normal"/>
        <w:tabs>
          <w:tab w:val="clear" w:pos="708"/>
          <w:tab w:val="left" w:pos="2025" w:leader="none"/>
        </w:tabs>
        <w:spacing w:lineRule="exact" w:line="276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</w:p>
    <w:p>
      <w:pPr>
        <w:pStyle w:val="Normal"/>
        <w:tabs>
          <w:tab w:val="clear" w:pos="708"/>
          <w:tab w:val="left" w:pos="2025" w:leader="none"/>
        </w:tabs>
        <w:spacing w:lineRule="exact" w:line="276" w:before="0" w:after="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 </w:t>
      </w:r>
      <w:r>
        <w:rPr>
          <w:rFonts w:cs="Times New Roman"/>
          <w:b/>
          <w:bCs/>
          <w:color w:val="000000"/>
        </w:rPr>
        <w:t>Ocena bardzo dobra</w:t>
      </w:r>
      <w:r>
        <w:rPr>
          <w:rFonts w:cs="Times New Roman"/>
          <w:color w:val="000000"/>
        </w:rPr>
        <w:t>:</w:t>
      </w:r>
    </w:p>
    <w:p>
      <w:pPr>
        <w:pStyle w:val="Normal"/>
        <w:tabs>
          <w:tab w:val="clear" w:pos="708"/>
          <w:tab w:val="left" w:pos="2025" w:leader="none"/>
        </w:tabs>
        <w:spacing w:lineRule="exact" w:line="276" w:before="0" w:after="0"/>
        <w:jc w:val="both"/>
        <w:rPr/>
      </w:pPr>
      <w:r>
        <w:rPr/>
        <w:t xml:space="preserve">    </w:t>
      </w:r>
      <w:r>
        <w:rPr/>
        <w:t xml:space="preserve">osiągnięcie zakładanych efektów uczenia się obejmujących wszystkie istotne aspekty </w:t>
      </w:r>
    </w:p>
    <w:p>
      <w:pPr>
        <w:pStyle w:val="Normal"/>
        <w:tabs>
          <w:tab w:val="clear" w:pos="708"/>
          <w:tab w:val="left" w:pos="2025" w:leader="none"/>
        </w:tabs>
        <w:spacing w:lineRule="exact" w:line="276" w:before="0" w:after="0"/>
        <w:jc w:val="both"/>
        <w:rPr>
          <w:rFonts w:cs="Times New Roman"/>
          <w:color w:val="000000"/>
        </w:rPr>
      </w:pPr>
      <w:r>
        <w:rPr>
          <w:rFonts w:cs="Calibri" w:cstheme="minorHAnsi"/>
        </w:rPr>
        <w:t xml:space="preserve">    ≥</w:t>
      </w:r>
      <w:r>
        <w:rPr/>
        <w:t>90%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1. B. Surmacz, M. Paszkowski (red.), </w:t>
            </w:r>
            <w:r>
              <w:rPr>
                <w:rFonts w:eastAsia="Calibri" w:cs="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Raport</w:t>
            </w:r>
            <w:r>
              <w:rPr>
                <w:rFonts w:eastAsia="Calibri" w:cs=""/>
                <w:b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Bezpieczeństwo energetyczne państw Europy Środkowej i Wschodniej, Instytut Europy Środkowej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Lublin 2023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2. J. Gryz, A. Podraza, M. Ruszel (red.),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Bezpieczeństwo energetyczne. Koncepcje, wyzwania, interesy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PWN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M. Ruszel, S. Podmiotko (red.),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Bezpieczeństwo energetyczne Polski i Europy. Uwarunkowania – wyzwania – innowacje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Instytut Polityki Energetycznej im. I. Łukasiewicza, Rzeszów 2019,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H. Nyga-Łukaszewska, Bezpieczeństwo energetyczne na międzynarodowym rynku gazu ziemnego, Oficyna Wydawnicza SGH, Warszawa 2019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5. P. Janusz, R. Szczerbowski, P. Zaleski,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Istotne aspekty bezpieczeństwa energetycznego Polsk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i, Texter, Warszawa 2017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6. P. Mickiewicz, P. Sokołowska (red.),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Bezpieczeństwo energetyczne Europy Środkowej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wydawnictwo Adam Marszałek, Toruń 2010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1. M. Szyrski,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Rola samorządu terytorialnego w rozwoju odnawialnych źródeł energii (OZE). Analiza administracyjnoprawna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, Wolters Kluver 2017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2. M. Pawełczyk,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Publicznoprawne obowiązki przedsiębiorstw energetycznych jako instrument zapewnienia bezpieczeństwa energetycznego w Polsce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wydawnictwo Adam Marszałek, Toruń 2013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3. K. Jeleń, Z. Rau (red.), </w:t>
            </w:r>
            <w:r>
              <w:rPr>
                <w:rFonts w:eastAsia="Calibri" w:cs="Calibri"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Energetyka jądrowa w Polsce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, Wolters Kluwer, Warszawa 2012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4. M. Kaczmarski,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Bezpieczeństwo energetyczne Unii Europejskiej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Wydawnictwa Akademickie i Profesjonalne, Warszawa 2010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5. Ministerstwo Klimatu i Środowiska,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Polityka energetyczna Polski do 2040 roku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Załącznik do uchwały z dnia 10 marca 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Style w:val="Strong"/>
                <w:rFonts w:eastAsia="Calibri" w:cs="Arial"/>
                <w:b w:val="false"/>
                <w:bCs w:val="false"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6.</w:t>
            </w:r>
            <w:r>
              <w:rPr>
                <w:rStyle w:val="Strong"/>
                <w:rFonts w:eastAsia="Calibri" w:cs="Arial"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Arial"/>
                <w:b w:val="false"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 xml:space="preserve">Program polskiej energetyki jądrowe, Załącznik do uchwały  </w:t>
            </w:r>
            <w:r>
              <w:rPr>
                <w:rFonts w:eastAsia="Calibri" w:cs="Arial"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nr 141/2020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Arial"/>
                <w:b w:val="false"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z dnia 2 października 2020 r. przyjęła 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 w:cs="Arial"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w sprawie</w:t>
            </w:r>
            <w:r>
              <w:rPr>
                <w:rStyle w:val="Strong"/>
                <w:rFonts w:eastAsia="Calibri" w:cs="Arial"/>
                <w:b w:val="false"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 aktualizacji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 </w:t>
            </w:r>
            <w:r>
              <w:rPr>
                <w:rFonts w:eastAsia="Calibri" w:cs="Arial"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programu wieloletniego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6947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LibreOffice/7.2.6.2$Windows_X86_64 LibreOffice_project/b0ec3a565991f7569a5a7f5d24fed7f52653d754</Application>
  <AppVersion>15.0000</AppVersion>
  <Pages>6</Pages>
  <Words>1402</Words>
  <Characters>10404</Characters>
  <CharactersWithSpaces>11702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2024-04-20T11:38:00Z</dcterms:created>
  <dc:creator>Anna Łukasiewicz</dc:creator>
  <dc:description/>
  <dc:language>pl-PL</dc:language>
  <cp:lastModifiedBy>Kamila Sobieraj</cp:lastModifiedBy>
  <cp:lastPrinted>2019-01-23T11:10:00Z</cp:lastPrinted>
  <dcterms:modified xsi:type="dcterms:W3CDTF">2024-04-20T16:46:00Z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