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Społeczno-kulturowe aspekty integracji europejskiej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Socio-cultural aspects of European integration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Aneta Bąk-Pitucha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6"/>
        <w:gridCol w:w="2262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V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  <w:bookmarkStart w:id="0" w:name="_GoBack"/>
            <w:bookmarkEnd w:id="0"/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W1- znajomość zagadnień z przedmiotu: wstęp do nauki o stosunkach międzynarodowych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C1-Zapoznanie studentów z głównymi zagadnieniami dotyczącymi przedmiotu zajęć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C-2 Przekazanie wiedzy nt. podstawowych pojęć w przedmiotowym obszarze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C-3 Ukierunkowanie na potrzebę samodzielnego, krytycznego analizowania przedmiotowych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Zjawisk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4"/>
        <w:gridCol w:w="5830"/>
        <w:gridCol w:w="2138"/>
      </w:tblGrid>
      <w:tr>
        <w:trPr/>
        <w:tc>
          <w:tcPr>
            <w:tcW w:w="10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Student identyfikuje wiedzę z obszaru nauki o stosunkach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międzynarodowych i ich przejawów, a zwłaszcza integracji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europejskiej w wymiarze polityczny i ekonomicznym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Absolwent rozumie istotę oraz uwarunkowania integracji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europejskiej, genezę, wymiary i proces instytucjonalny 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decyzyjny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Absolwent potrafi wykorzystywać zdobytą wiedzę teoretyczną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dotycząca analizowania, wyjaśniania i prognozowania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stosunków międzynarodowych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-Bold" w:hAnsi="Calibri-Bold" w:cs="Calibri-Bold"/>
                <w:b/>
                <w:b/>
                <w:bCs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K_U01, K_U03, K_U05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Absolwent posiada wiedzę w zakresie stosunków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międzynarodowych i integracji europejskiej i dokonuje jej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oceny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K_K03</w:t>
            </w:r>
          </w:p>
        </w:tc>
      </w:tr>
    </w:tbl>
    <w:p>
      <w:pPr>
        <w:pStyle w:val="ListParagraph"/>
        <w:numPr>
          <w:ilvl w:val="0"/>
          <w:numId w:val="1"/>
        </w:numPr>
        <w:rPr>
          <w:b/>
          <w:b/>
        </w:rPr>
      </w:pPr>
      <w:r>
        <w:rPr/>
        <w:tab/>
        <w:tab/>
        <w:t xml:space="preserve"> </w:t>
      </w: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1. Pojęcie integracji.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2. Początki procesu integracji europejskiej po II wojnie światowej, organizacje integracyjne w Europie.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3. Powstanie Wspólnot Europejskich w latach 50. XX wieku: Europejska Wspólnota Węgla i Stali (EWWiS), Europejska Wspólnota Gospodarcza (EWG) i Europejska Wspólnota Energii Atomowej (Euratom).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4. Prawo pierwotne: Jednolity Akt Europejski (1986 r.).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5. Traktat o Unii Europejskiej: z Maastricht (1992 r.): powstanie Unii Europejskiej, Traktat Amsterdamski (1997 r.), Traktat Nicejski (2001 r.), Traktat ustanawiający Konstytucję dla Europy (2004 r.), Traktat z Lizbony (2007 r.).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6. Główne wyzwania integracji europejskiej.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7. Społeczno-kulturowy wymiar integracji europejskiej.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8. Miejskość i europeizacja. Perspektywa polska.</w:t>
            </w:r>
          </w:p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9. Mity i rzeczywistość społeczeństwa obywatelskiego.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Wykład, 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Obserwacja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Wykład, 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ustny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ustny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>1. Systematyczna obecność na zajęciach (dopuszczalne 2 nieobecności nieusprawiedliwione), studenci z IOS obecność na połowie zajęć.</w:t>
      </w:r>
    </w:p>
    <w:p>
      <w:pPr>
        <w:pStyle w:val="Normal"/>
        <w:rPr/>
      </w:pPr>
      <w:r>
        <w:rPr>
          <w:rFonts w:cs="Calibri"/>
        </w:rPr>
        <w:t>2. Egzamin ustny  (wiedza z wykładów i zalecanej literatury).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u w:val="single"/>
                <w:lang w:val="pl-PL" w:eastAsia="en-US" w:bidi="ar-SA"/>
              </w:rPr>
            </w:r>
          </w:p>
          <w:tbl>
            <w:tblPr>
              <w:tblW w:w="884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8846"/>
            </w:tblGrid>
            <w:tr>
              <w:trPr>
                <w:trHeight w:val="513" w:hRule="atLeast"/>
              </w:trPr>
              <w:tc>
                <w:tcPr>
                  <w:tcW w:w="8846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 xml:space="preserve">1. </w:t>
                  </w:r>
                  <w:r>
                    <w:rPr>
                      <w:rFonts w:cs="Times New Roman" w:ascii="Times New Roman" w:hAnsi="Times New Roman"/>
                      <w:i/>
                      <w:sz w:val="24"/>
                      <w:szCs w:val="24"/>
                    </w:rPr>
                    <w:t>Kultura a rozwój 20 lat po upadku komunizmu w Europie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, red. J. Purchla, R. Palmer, Kraków 2010.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 xml:space="preserve">2. </w:t>
                  </w:r>
                  <w:r>
                    <w:rPr>
                      <w:rFonts w:cs="Times New Roman" w:ascii="Times New Roman" w:hAnsi="Times New Roman"/>
                      <w:i/>
                      <w:sz w:val="24"/>
                      <w:szCs w:val="24"/>
                    </w:rPr>
                    <w:t>Kultura, tożsamość i integracja europejska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, red. D. Niedźwiecki, Instytut Europeistyki Uniwersytetu Jagiellońskiego, Kraków 2014.</w:t>
                  </w:r>
                </w:p>
                <w:p>
                  <w:pPr>
                    <w:pStyle w:val="Default"/>
                    <w:widowControl w:val="false"/>
                    <w:spacing w:lineRule="auto" w:line="3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3. Podraza A., </w:t>
                  </w:r>
                  <w:r>
                    <w:rPr>
                      <w:rFonts w:cs="Times New Roman" w:ascii="Times New Roman" w:hAnsi="Times New Roman"/>
                      <w:i/>
                      <w:iCs/>
                    </w:rPr>
                    <w:t>Unia Europejska w procesie reform traktatowych</w:t>
                  </w:r>
                  <w:r>
                    <w:rPr>
                      <w:rFonts w:cs="Times New Roman" w:ascii="Times New Roman" w:hAnsi="Times New Roman"/>
                    </w:rPr>
                    <w:t>, Wydawnictwo KUL, Lublin 2007.</w:t>
                  </w:r>
                </w:p>
                <w:p>
                  <w:pPr>
                    <w:pStyle w:val="Default"/>
                    <w:widowControl w:val="false"/>
                    <w:spacing w:lineRule="auto" w:line="3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iCs/>
                    </w:rPr>
                    <w:t xml:space="preserve">4. </w:t>
                  </w:r>
                  <w:r>
                    <w:rPr>
                      <w:rFonts w:cs="Times New Roman" w:ascii="Times New Roman" w:hAnsi="Times New Roman"/>
                      <w:i/>
                      <w:iCs/>
                    </w:rPr>
                    <w:t xml:space="preserve">Ustrój Unii Europejskiej, </w:t>
                  </w:r>
                  <w:r>
                    <w:rPr>
                      <w:rFonts w:cs="Times New Roman" w:ascii="Times New Roman" w:hAnsi="Times New Roman"/>
                    </w:rPr>
                    <w:t>red. J. Barcz, cz I i II, Warszawa 2010.</w:t>
                  </w:r>
                </w:p>
              </w:tc>
            </w:tr>
          </w:tbl>
          <w:p>
            <w:pPr>
              <w:pStyle w:val="Default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tbl>
            <w:tblPr>
              <w:tblW w:w="851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8511"/>
            </w:tblGrid>
            <w:tr>
              <w:trPr>
                <w:trHeight w:val="110" w:hRule="atLeast"/>
              </w:trPr>
              <w:tc>
                <w:tcPr>
                  <w:tcW w:w="8511" w:type="dxa"/>
                  <w:tcBorders/>
                </w:tcPr>
                <w:p>
                  <w:pPr>
                    <w:pStyle w:val="Default"/>
                    <w:widowControl w:val="false"/>
                    <w:spacing w:lineRule="auto" w:line="360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cs="Times New Roman" w:ascii="Times New Roman" w:hAnsi="Times New Roman"/>
                      <w:u w:val="single"/>
                    </w:rPr>
                  </w:r>
                </w:p>
              </w:tc>
            </w:tr>
            <w:tr>
              <w:trPr>
                <w:trHeight w:val="244" w:hRule="atLeast"/>
              </w:trPr>
              <w:tc>
                <w:tcPr>
                  <w:tcW w:w="8511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 xml:space="preserve">1. Ruszkowski J., </w:t>
                  </w:r>
                  <w:r>
                    <w:rPr>
                      <w:rFonts w:cs="Times New Roman" w:ascii="Times New Roman" w:hAnsi="Times New Roman"/>
                      <w:i/>
                      <w:iCs/>
                      <w:sz w:val="24"/>
                      <w:szCs w:val="24"/>
                    </w:rPr>
                    <w:t>Wstęp do studiów europejskich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, Wydawnictwo Naukowe PWN, Warszawa 2007.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en-US"/>
                    </w:rPr>
                    <w:t xml:space="preserve">2. Bomberg E., Peterson J., Stubb A. (red.), </w:t>
                  </w:r>
                  <w:r>
                    <w:rPr>
                      <w:rFonts w:cs="Times New Roman" w:ascii="Times New Roman" w:hAnsi="Times New Roman"/>
                      <w:i/>
                      <w:iCs/>
                      <w:sz w:val="24"/>
                      <w:szCs w:val="24"/>
                      <w:lang w:val="en-US"/>
                    </w:rPr>
                    <w:t xml:space="preserve">The European Union: how does it work?, 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en-US"/>
                    </w:rPr>
                    <w:t>Oxford University Press, Oxford 2008.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before="0" w:after="0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before="0" w:after="200"/>
        <w:rPr>
          <w:lang w:val="en-US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-Bold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2F0B-85CF-4F20-AA86-BCB450F1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LibreOffice/7.2.6.2$Windows_X86_64 LibreOffice_project/b0ec3a565991f7569a5a7f5d24fed7f52653d754</Application>
  <AppVersion>15.0000</AppVersion>
  <Pages>5</Pages>
  <Words>535</Words>
  <Characters>3695</Characters>
  <CharactersWithSpaces>4098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2021-11-29T22:12:00Z</dcterms:created>
  <dc:creator>Anna Łukasiewicz</dc:creator>
  <dc:description/>
  <dc:language>pl-PL</dc:language>
  <cp:lastModifiedBy>aneta</cp:lastModifiedBy>
  <cp:lastPrinted>2019-01-23T11:10:00Z</cp:lastPrinted>
  <dcterms:modified xsi:type="dcterms:W3CDTF">2024-01-14T17:11:00Z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