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 2023/2024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 magisterskie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MA Seminar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Marcin Kosienkowski. prof. KUL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28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I-IV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W1 - Wiedza z zakresu nauki o stosunkach międzynarodowych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Zapoznanie studentów z problemami współczesnych stosunków międzynarodowych i ich badaniem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rozumie interdyscyplinarny charakter wiedzy i kompetencji z dziedziny nauk społecznych, szczególnie z zakresu stosunków międzynarodowych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uwarunkowania stosunków międzynarodowych, zarówno w obszarze politycznym, społecznym, gospodarczym, jak i kulturowym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rozumie wielowymiarowość wiedzy i kompetencji z dziedziny nauk społecznych, zwłaszcza w ramach przygotowania do wykonywania zawodów związanych z realizacją stosunków międzynarodowych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rozumie kontekst stosunków międzynarodowych, zwłaszcza w zakresie bezpieczeństwa europejskiego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K_W06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zasady wykonywania zawodu związanego z realizacją stosunków międzynarodowych, z uwzględnieniem przedsiębiorczości oraz norm własności intelektualnej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K_W08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posiadaną, pogłębioną wiedzę i kompetencje do analizowania, diagnozowania, wyjaśniania oraz prognozowania kwestii szczegółowych związanych z wykonywaniem zawodu odnoszącego się do realizacji stosunków międzynarodowych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wykorzystać pogłębioną wiedzę i kompetencje do samodzielnego wdrażania rozwiązań problemów w zakresie stosunków międzynarodowych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prawidłowo oceniać zagrożenia w zakresie stosunków międzynarodowych i przedstawiać ich praktyczne rozwiązania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samodzielnego integrowania nabytej wiedzy i kompetencji oraz podejmowania w zorganizowany sposób nowych i kompleksowych działań, także w warunkach ograniczonego dostępu do potrzebnych informacji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K_K04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1. Omówienie zasad pisania pracy dyplomowej.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2. Wybór tematu.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3. Dyskusja nad strukturą pracy i metodami badań.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4. Budowa bibliografii, prezentacja gotowych fragmentów pracy.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5. Wprowadzenie do problemów współczesnych stosunków międzynarodowych.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6. Badanie współczesnych stosunków międzynarodowych.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7"/>
        <w:gridCol w:w="277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Cs/>
        </w:rPr>
      </w:pPr>
      <w:r>
        <w:rPr>
          <w:bCs/>
        </w:rPr>
        <w:t>Zaliczenie seminarium jest możliwe po spełnieniu wymagań podanych przez prowadzącego i złożeniu przez studenta wniosku o zatwierdzenie tematu pracy dyplomowej w terminie wymaganym przez regulamin studiów i zapisy przyjęte na Wydziale.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Kuźniar R. et al., Bezpieczeństwo międzynarodowe, Warszawa 2020.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Międzynarodowe stosunki polityczne, red. M. Pietraś, Lublin 2006.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 Stosunki międzynarodowe. Geneza, struktura, dynamika, red. E. Haliżak, R. Kuźniar, Warszawa 2006.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Współczesne stosunki międzynarodowe, red. T. Łoś-Nowak, Wrocław 2010.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lang w:val="en-US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1. Kosienkowski M., Naddniestrzańska Republika Mołdawska. 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en-US" w:eastAsia="en-US" w:bidi="ar-SA"/>
              </w:rPr>
              <w:t>Determinanty przetrwania, Toruń 2010.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lang w:val="en-US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en-US" w:eastAsia="en-US" w:bidi="ar-SA"/>
              </w:rPr>
              <w:t>2. Kosienkowski M., Continuity and Change in Transnistria’s Foreign Policy after the 2011 Presidential Elections, Lublin 2012.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3. Kosienkowski M., Współpraca społeczności międzynarodowej z państwami de facto. Studium przypadków, Lublin 2018.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Wojciechowski S., Nacjonalizm w Europie Środkowo-Wschodniej, Wrocław 2000.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LibreOffice/7.2.6.2$Windows_X86_64 LibreOffice_project/b0ec3a565991f7569a5a7f5d24fed7f52653d754</Application>
  <AppVersion>15.0000</AppVersion>
  <Pages>5</Pages>
  <Words>628</Words>
  <Characters>4535</Characters>
  <CharactersWithSpaces>5011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2023-11-15T07:58:00Z</dcterms:created>
  <dc:creator>Anna Łukasiewicz</dc:creator>
  <dc:description/>
  <dc:language>pl-PL</dc:language>
  <cp:lastModifiedBy/>
  <cp:lastPrinted>2019-01-23T11:10:00Z</cp:lastPrinted>
  <dcterms:modified xsi:type="dcterms:W3CDTF">2023-12-08T13:07:45Z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