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Wybrane zagadnienia translatoryki 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Selected translation concepts 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 hab. Konrad Klimkowski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36"/>
        <w:gridCol w:w="2437"/>
        <w:gridCol w:w="2437"/>
        <w:gridCol w:w="2437"/>
        <w:tblGridChange w:id="0">
          <w:tblGrid>
            <w:gridCol w:w="2436"/>
            <w:gridCol w:w="2437"/>
            <w:gridCol w:w="2437"/>
            <w:gridCol w:w="243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60"/>
        <w:gridCol w:w="7887"/>
        <w:tblGridChange w:id="0">
          <w:tblGrid>
            <w:gridCol w:w="1860"/>
            <w:gridCol w:w="788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Znajomość języka polskiego i angielskiego pozwalająca na swobodne posługiwanie się tymi językami.</w:t>
            </w:r>
          </w:p>
        </w:tc>
      </w:tr>
    </w:tbl>
    <w:p w:rsidR="00000000" w:rsidDel="00000000" w:rsidP="00000000" w:rsidRDefault="00000000" w:rsidRPr="00000000" w14:paraId="00000051">
      <w:pPr>
        <w:tabs>
          <w:tab w:val="left" w:leader="none" w:pos="20"/>
          <w:tab w:val="left" w:leader="none" w:pos="360"/>
          <w:tab w:val="left" w:leader="none" w:pos="1080"/>
        </w:tabs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Zapoznanie studentów z głównymi motywami w historii przekładu.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Budowanie wiedzy na temat najważniejszych teorii i tendencji przekładoznawczych.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Zapoznanie studentów z głównymi typami translacji i strategiami przekładu.</w:t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17"/>
        <w:gridCol w:w="5383"/>
        <w:gridCol w:w="3689"/>
        <w:tblGridChange w:id="0">
          <w:tblGrid>
            <w:gridCol w:w="817"/>
            <w:gridCol w:w="5383"/>
            <w:gridCol w:w="3689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identyfikuje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kluczowe teorie translacji oraz podstawowe mechanizmy i problemy translacji (również w perspektywie historycznej) w obrębie języka angielskiego i polskiego.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K_W02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demonstruje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wiedzę z zakresu technik tłumaczeniowych w odniesieniu do różnych typów tekstów (literackich, technicznych i audiowizualnych) i zadań translatorskich.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K_W03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charakteryzuje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wpływ kontekstu kulturowego oraz zastosowanego sposobu wyrażania treści na proces komunikacji.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właściwie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dobiera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techniki przekładu różnych rodzajów tekstów i wystąpień ustnych, zarówno ogólnych jak i specjalistycznych, a także audiowizualnych.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K_U01</w:t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dokonuje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przekładu w obrębie języka polskiego i angielskiego przy użyciu właściwej strategii tłumaczeniowej.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- w oparciu o obserwację i dyskusję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dokonuje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krytycznej oceny posiadanej wiedzy oraz weryfikuje zdobyte umiejętności tłumaczeniowe i wiedzę merytoryczną dotyczącą tłumaczeń.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wykazuje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zainteresowanie poszerzaniem kompetencji językowych podczas wykonywania zadań tłumaczeniowych.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K_K05</w:t>
            </w:r>
          </w:p>
        </w:tc>
      </w:tr>
    </w:tbl>
    <w:p w:rsidR="00000000" w:rsidDel="00000000" w:rsidP="00000000" w:rsidRDefault="00000000" w:rsidRPr="00000000" w14:paraId="0000007A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30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 godzin spotkań na uczelni: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1)</w:t>
              <w:tab/>
              <w:t xml:space="preserve">The major dilemmas of translation (from Antiquity to Modern Times) – 2h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2)       What is translation: concepts, schools, representatives (20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century) – 4h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3)       Translation process, strategies and techniques (and the latest advances in Translation Studies) – 4h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 godzin, e-learning: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1)       A discussion workshop: is the role of translation today similar to that of the past?  ─  4 godz.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2)</w:t>
              <w:tab/>
              <w:t xml:space="preserve">Modes of translation and related operations on language, text and culture – 4 godz.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3)</w:t>
              <w:tab/>
              <w:t xml:space="preserve">Translation as a case of LSP career – translator sociology and market research – 4 godz.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4)</w:t>
              <w:tab/>
              <w:t xml:space="preserve">Selected issues of translator training and self-education – 2 godz.</w:t>
            </w:r>
          </w:p>
        </w:tc>
      </w:tr>
    </w:tbl>
    <w:p w:rsidR="00000000" w:rsidDel="00000000" w:rsidP="00000000" w:rsidRDefault="00000000" w:rsidRPr="00000000" w14:paraId="00000088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5"/>
        <w:gridCol w:w="2055"/>
        <w:gridCol w:w="2780"/>
        <w:gridCol w:w="4089"/>
        <w:tblGridChange w:id="0">
          <w:tblGrid>
            <w:gridCol w:w="965"/>
            <w:gridCol w:w="2055"/>
            <w:gridCol w:w="2780"/>
            <w:gridCol w:w="4089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 konwersatoryjny,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ocenione kolokwium / test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miniwykład, dyskusja, praca z tekstem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ocenione kolokwium / test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miniwykład, dyskusja, praca z tekstem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ocenione kolokwium / test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indywidualna, burza mózgów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ustna/tłumaczenie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oceniona odpowiedź ustna/pisemne tłumaczenie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indywidualna, burza mózgów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ustna/tłumaczenie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oceniona odpowiedź ustna/pisemne tłumaczenie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grupach, praca w parach, metoda projektu, odgrywanie ról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ustna/tłumaczenie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oceniona odpowiedź ustna/pisemne tłumaczenie</w:t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grupach, praca w parach, metoda projektu, odgrywanie ról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ustna/tłumaczenie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oceniona odpowiedź ustna/pisemne tłumaczenie</w:t>
            </w:r>
          </w:p>
        </w:tc>
      </w:tr>
    </w:tbl>
    <w:p w:rsidR="00000000" w:rsidDel="00000000" w:rsidP="00000000" w:rsidRDefault="00000000" w:rsidRPr="00000000" w14:paraId="000000B5">
      <w:pPr>
        <w:pBdr>
          <w:top w:space="0" w:sz="0" w:val="nil"/>
        </w:pBd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Forma oceny: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Zaliczenie na podstawie oceny z testu końcowego sprawdzającego wiedzę z całego semestru. </w:t>
        <w:br w:type="textWrapping"/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Kryteria oceny testu: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br w:type="textWrapping"/>
        <w:t xml:space="preserve">3 (60-68%) </w:t>
        <w:br w:type="textWrapping"/>
        <w:t xml:space="preserve">3+ (69-76%) </w:t>
        <w:br w:type="textWrapping"/>
        <w:t xml:space="preserve">4 (77-84%) </w:t>
        <w:br w:type="textWrapping"/>
        <w:t xml:space="preserve">4+ (85-92%) </w:t>
        <w:br w:type="textWrapping"/>
        <w:t xml:space="preserve">5 (93-100%) </w:t>
      </w:r>
    </w:p>
    <w:p w:rsidR="00000000" w:rsidDel="00000000" w:rsidP="00000000" w:rsidRDefault="00000000" w:rsidRPr="00000000" w14:paraId="000000BC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9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80"/>
        <w:gridCol w:w="5567"/>
        <w:tblGridChange w:id="0">
          <w:tblGrid>
            <w:gridCol w:w="4180"/>
            <w:gridCol w:w="556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40 (w tym 14 e-learning)</w:t>
            </w:r>
          </w:p>
        </w:tc>
      </w:tr>
    </w:tbl>
    <w:p w:rsidR="00000000" w:rsidDel="00000000" w:rsidP="00000000" w:rsidRDefault="00000000" w:rsidRPr="00000000" w14:paraId="000000C4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Literatura</w:t>
      </w:r>
    </w:p>
    <w:tbl>
      <w:tblPr>
        <w:tblStyle w:val="Table10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• Baker, Mona (ed.) (2009) Critical Readings in Translation Studies, London &amp; New York: Routledge </w:t>
              <w:br w:type="textWrapping"/>
              <w:t xml:space="preserve">• Baker, Mona and Gabriela Saldanha (eds) (2020) Routledge Encyclopedia of Translation Studies, Second Edition, London &amp; New York: Routledge. </w:t>
              <w:br w:type="textWrapping"/>
              <w:t xml:space="preserve">• Munday, J. 2012. Introducing Translation Studies: Theories and Applications (4th edition). London/New York: Routledge 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• Newmark, P. 1987. A textbook of translation. Hemel Hempstead: Prentice Hall </w:t>
              <w:br w:type="textWrapping"/>
              <w:t xml:space="preserve">• Venuti, L. (ed.). 2000/2004. The Translation Studies Reader (first and second editions). London &amp; New York: Routledge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7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• Bassnett, S. 2002. Translation studies. London and New York: Routledge </w:t>
              <w:br w:type="textWrapping"/>
              <w:t xml:space="preserve">• Díaz-Cintas, Jorge &amp; Aline Remael (2007) Audiovisual Translation: Subtitling, Manchester: St Jerome Publishing </w:t>
              <w:br w:type="textWrapping"/>
              <w:t xml:space="preserve">• Malmkjaer, K., K. Windle (eds.). 2011. The Oxford Handbook of Translation </w:t>
              <w:br w:type="textWrapping"/>
              <w:t xml:space="preserve">Studies. Oxford: Oxford University Press </w:t>
              <w:br w:type="textWrapping"/>
              <w:t xml:space="preserve">• Williams, J., A. Chesterman. 2002. The Map. A beginner’s guide to doing research in Translation Studies. Manchester: St. Jerome Publishing </w:t>
              <w:br w:type="textWrapping"/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pBdr>
          <w:top w:space="0" w:sz="0" w:val="nil"/>
        </w:pBdr>
        <w:tabs>
          <w:tab w:val="left" w:leader="none" w:pos="20"/>
          <w:tab w:val="left" w:leader="none" w:pos="1080"/>
        </w:tabs>
        <w:spacing w:after="200" w:lineRule="auto"/>
        <w:ind w:left="36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72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3960" w:hanging="36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120" w:hanging="36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rPr>
      <w:u w:val="single"/>
    </w:rPr>
  </w:style>
  <w:style w:type="table" w:styleId="TableNormal1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</w:rPr>
  </w:style>
  <w:style w:type="numbering" w:styleId="ImportedStyle1" w:customStyle="1">
    <w:name w:val="Imported Style 1"/>
  </w:style>
  <w:style w:type="paragraph" w:styleId="Akapitzlist">
    <w:name w:val="List Paragraph"/>
    <w:pPr>
      <w:ind w:left="720"/>
    </w:pPr>
    <w:rPr>
      <w:color w:val="000000"/>
      <w:u w:color="000000"/>
    </w:rPr>
  </w:style>
  <w:style w:type="numbering" w:styleId="ImportedStyle2" w:customStyle="1">
    <w:name w:val="Imported Style 2"/>
  </w:style>
  <w:style w:type="numbering" w:styleId="ImportedStyle3" w:customStyle="1">
    <w:name w:val="Imported Style 3"/>
  </w:style>
  <w:style w:type="numbering" w:styleId="ImportedStyle4" w:customStyle="1">
    <w:name w:val="Imported Style 4"/>
  </w:style>
  <w:style w:type="numbering" w:styleId="ImportedStyle5" w:customStyle="1">
    <w:name w:val="Imported Style 5"/>
  </w:style>
  <w:style w:type="numbering" w:styleId="ImportedStyle6" w:customStyle="1">
    <w:name w:val="Imported Style 6"/>
  </w:style>
  <w:style w:type="numbering" w:styleId="ImportedStyle7" w:customStyle="1">
    <w:name w:val="Imported Style 7"/>
  </w:style>
  <w:style w:type="paragraph" w:styleId="Stopka">
    <w:name w:val="footer"/>
    <w:basedOn w:val="Normalny"/>
    <w:link w:val="StopkaZnak"/>
    <w:uiPriority w:val="99"/>
    <w:unhideWhenUsed w:val="1"/>
    <w:rsid w:val="00A94FD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94FDC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</w:tblPr>
  </w:style>
  <w:style w:type="table" w:styleId="a5" w:customStyle="1">
    <w:basedOn w:val="TableNormal1"/>
    <w:tblPr>
      <w:tblStyleRowBandSize w:val="1"/>
      <w:tblStyleColBandSize w:val="1"/>
    </w:tblPr>
  </w:style>
  <w:style w:type="table" w:styleId="a6" w:customStyle="1">
    <w:basedOn w:val="TableNormal1"/>
    <w:tblPr>
      <w:tblStyleRowBandSize w:val="1"/>
      <w:tblStyleColBandSize w:val="1"/>
    </w:tblPr>
  </w:style>
  <w:style w:type="table" w:styleId="a7" w:customStyle="1">
    <w:basedOn w:val="TableNormal1"/>
    <w:tblPr>
      <w:tblStyleRowBandSize w:val="1"/>
      <w:tblStyleColBandSize w:val="1"/>
    </w:tblPr>
  </w:style>
  <w:style w:type="table" w:styleId="a8" w:customStyle="1">
    <w:basedOn w:val="TableNormal1"/>
    <w:tblPr>
      <w:tblStyleRowBandSize w:val="1"/>
      <w:tblStyleColBandSize w:val="1"/>
    </w:tblPr>
  </w:style>
  <w:style w:type="table" w:styleId="a9" w:customStyle="1">
    <w:basedOn w:val="TableNormal1"/>
    <w:tblPr>
      <w:tblStyleRowBandSize w:val="1"/>
      <w:tblStyleColBandSize w:val="1"/>
    </w:tblPr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table" w:styleId="ac" w:customStyle="1">
    <w:basedOn w:val="TableNormal1"/>
    <w:tblPr>
      <w:tblStyleRowBandSize w:val="1"/>
      <w:tblStyleColBandSize w:val="1"/>
    </w:tblPr>
  </w:style>
  <w:style w:type="table" w:styleId="ad" w:customStyle="1">
    <w:basedOn w:val="TableNormal1"/>
    <w:tblPr>
      <w:tblStyleRowBandSize w:val="1"/>
      <w:tblStyleColBandSize w:val="1"/>
    </w:tblPr>
  </w:style>
  <w:style w:type="table" w:styleId="ae" w:customStyle="1">
    <w:basedOn w:val="TableNormal1"/>
    <w:tblPr>
      <w:tblStyleRowBandSize w:val="1"/>
      <w:tblStyleColBandSize w:val="1"/>
    </w:tblPr>
  </w:style>
  <w:style w:type="table" w:styleId="af" w:customStyle="1">
    <w:basedOn w:val="TableNormal1"/>
    <w:tblPr>
      <w:tblStyleRowBandSize w:val="1"/>
      <w:tblStyleColBandSize w:val="1"/>
    </w:tblPr>
  </w:style>
  <w:style w:type="table" w:styleId="af0" w:customStyle="1">
    <w:basedOn w:val="TableNormal1"/>
    <w:tblPr>
      <w:tblStyleRowBandSize w:val="1"/>
      <w:tblStyleColBandSize w:val="1"/>
    </w:tblPr>
  </w:style>
  <w:style w:type="table" w:styleId="af1" w:customStyle="1">
    <w:basedOn w:val="TableNormal1"/>
    <w:tblPr>
      <w:tblStyleRowBandSize w:val="1"/>
      <w:tblStyleColBandSize w:val="1"/>
    </w:tblPr>
  </w:style>
  <w:style w:type="table" w:styleId="af2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aTIrZ2Oj1Mk6S0RI++wp4WCUYA==">CgMxLjAyCGguZ2pkZ3hzOAByITF1am1jYU83Wm1PUU1nWWxVaXhEWF84T2FTLU1UWE80QQ==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2021-09-27T09:20:00Z</dcterms:created>
  <dc:creator>Krzysztof Skórski</dc:creator>
</cp:coreProperties>
</file>