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317D" w:rsidRDefault="009972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KARTA PRZEDMIOTU </w:t>
      </w:r>
    </w:p>
    <w:p w:rsidR="00CD317D" w:rsidRDefault="009972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Cykl kształc</w:t>
      </w:r>
      <w:r w:rsidR="001B1D96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enia od roku akademickiego: 2023/2</w:t>
      </w:r>
      <w:r w:rsidR="001B1D96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CD317D" w:rsidRDefault="00997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426" w:hanging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Dane podstawowe</w:t>
      </w:r>
    </w:p>
    <w:tbl>
      <w:tblPr>
        <w:tblStyle w:val="aa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6"/>
      </w:tblGrid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Nazwa przedmiotu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Wstęp do językoznawstwa</w:t>
            </w:r>
          </w:p>
        </w:tc>
      </w:tr>
      <w:tr w:rsidR="00CD317D">
        <w:trPr>
          <w:trHeight w:val="28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Nazwa przedmiotu w języku angielskim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linguistics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Kierunek studiów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Filologia angielska</w:t>
            </w:r>
          </w:p>
        </w:tc>
      </w:tr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Poziom studiów (I, II, jednolite magisterskie)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Forma studiów (stacjonarne, niestacjonarne)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1B1D96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Nie</w:t>
            </w:r>
            <w:r w:rsidR="009972F3">
              <w:rPr>
                <w:rFonts w:ascii="Times New Roman" w:eastAsia="Times New Roman" w:hAnsi="Times New Roman" w:cs="Times New Roman"/>
              </w:rPr>
              <w:t>tacjonarne</w:t>
            </w:r>
            <w:proofErr w:type="spellEnd"/>
          </w:p>
        </w:tc>
      </w:tr>
      <w:tr w:rsidR="00CD317D">
        <w:trPr>
          <w:trHeight w:val="28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Dyscyplina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Językoznawstwo</w:t>
            </w:r>
          </w:p>
        </w:tc>
      </w:tr>
      <w:tr w:rsidR="00CD317D">
        <w:trPr>
          <w:trHeight w:val="28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Język wykładowy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</w:tr>
    </w:tbl>
    <w:p w:rsidR="00CD317D" w:rsidRDefault="00CD317D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b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6"/>
      </w:tblGrid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Koordynator przedmiotu/osoba odpowiedzialna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 w:rsidP="001B1D9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B1D96">
              <w:rPr>
                <w:rFonts w:ascii="Times New Roman" w:eastAsia="Times New Roman" w:hAnsi="Times New Roman" w:cs="Times New Roman"/>
              </w:rPr>
              <w:t>Sławomir Zdziebko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317D" w:rsidRDefault="00CD317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8"/>
        <w:gridCol w:w="2338"/>
        <w:gridCol w:w="2338"/>
      </w:tblGrid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Forma zajęć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Liczba godzin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semestr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Punkty ECTS</w:t>
            </w: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bookmarkStart w:id="0" w:name="_heading=h.gjdgxs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</w:rPr>
              <w:t>wykład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76473">
            <w:pPr>
              <w:spacing w:after="0" w:line="240" w:lineRule="auto"/>
              <w:jc w:val="center"/>
            </w:pPr>
            <w:r w:rsidRPr="00C7647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bookmarkStart w:id="1" w:name="_GoBack"/>
            <w:bookmarkEnd w:id="1"/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konwersatorium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1B1D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laboratorium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warsztaty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seminarium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proseminarium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lektorat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praktyki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zajęcia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terenowe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pracownia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dyplomowa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translatorium</w:t>
            </w:r>
            <w:proofErr w:type="spellEnd"/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D317D">
        <w:trPr>
          <w:trHeight w:val="3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wizyta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studyjna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CD317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CD3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CD317D" w:rsidRDefault="00CD317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D317D" w:rsidRDefault="00CD317D">
      <w:pPr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</w:rPr>
      </w:pPr>
    </w:p>
    <w:tbl>
      <w:tblPr>
        <w:tblStyle w:val="ad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15"/>
      </w:tblGrid>
      <w:tr w:rsidR="00CD317D">
        <w:trPr>
          <w:trHeight w:val="29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Wymagania wstępne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Znajomość języka angielskiego na poziomie B1+. </w:t>
            </w:r>
          </w:p>
        </w:tc>
      </w:tr>
    </w:tbl>
    <w:p w:rsidR="00CD317D" w:rsidRDefault="00CD317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D317D" w:rsidRDefault="009972F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Cele kształcenia dla przedmiotu </w:t>
      </w:r>
    </w:p>
    <w:tbl>
      <w:tblPr>
        <w:tblStyle w:val="ae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8930"/>
      </w:tblGrid>
      <w:tr w:rsidR="00CD317D">
        <w:trPr>
          <w:trHeight w:val="5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C1 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1B1D96" w:rsidP="001B1D96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Przekazanie studentom terminologii odpowiedniej dla dziedziny językoznawstwa</w:t>
            </w:r>
          </w:p>
        </w:tc>
      </w:tr>
      <w:tr w:rsidR="001B1D96">
        <w:trPr>
          <w:trHeight w:val="5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D96" w:rsidRDefault="001B1D96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C2 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D96" w:rsidRDefault="001B1D96" w:rsidP="001B1D96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studentów z podstawami metodologii badawczej odpowiedniej dla dziedziny językoznawstwa</w:t>
            </w:r>
          </w:p>
        </w:tc>
      </w:tr>
      <w:tr w:rsidR="00CD317D">
        <w:trPr>
          <w:trHeight w:val="7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C2 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 w:rsidP="001B1D96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Przygotowanie studentów do sporządzenia prostego opisu danych i </w:t>
            </w:r>
            <w:r w:rsidR="001B1D96">
              <w:rPr>
                <w:rFonts w:ascii="Times New Roman" w:eastAsia="Times New Roman" w:hAnsi="Times New Roman" w:cs="Times New Roman"/>
              </w:rPr>
              <w:t>analiz językoznawczych</w:t>
            </w:r>
          </w:p>
        </w:tc>
      </w:tr>
    </w:tbl>
    <w:p w:rsidR="00CD317D" w:rsidRDefault="009972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af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379"/>
        <w:gridCol w:w="2126"/>
      </w:tblGrid>
      <w:tr w:rsidR="00CD317D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Symbol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Opis efektu przedmiotowego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Odniesienie do efektu kierunkowego</w:t>
            </w:r>
          </w:p>
        </w:tc>
      </w:tr>
      <w:tr w:rsidR="00CD317D">
        <w:trPr>
          <w:trHeight w:val="24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WIEDZA</w:t>
            </w:r>
          </w:p>
        </w:tc>
      </w:tr>
      <w:tr w:rsidR="00CD317D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W_01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 w:rsidP="001B1D96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Student rozróżnia</w:t>
            </w:r>
            <w:r w:rsidR="001B1D96">
              <w:rPr>
                <w:rFonts w:ascii="Times New Roman" w:eastAsia="Times New Roman" w:hAnsi="Times New Roman" w:cs="Times New Roman"/>
              </w:rPr>
              <w:t xml:space="preserve"> i wymienia</w:t>
            </w:r>
            <w:r>
              <w:rPr>
                <w:rFonts w:ascii="Times New Roman" w:eastAsia="Times New Roman" w:hAnsi="Times New Roman" w:cs="Times New Roman"/>
              </w:rPr>
              <w:t xml:space="preserve"> działy językoz</w:t>
            </w:r>
            <w:r w:rsidR="001B1D96">
              <w:rPr>
                <w:rFonts w:ascii="Times New Roman" w:eastAsia="Times New Roman" w:hAnsi="Times New Roman" w:cs="Times New Roman"/>
              </w:rPr>
              <w:t>nawstwa oraz przedmiot i zakres badań prowadzonych w ramach tych działów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64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K_W01, K_W02, K_W03,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K_W04</w:t>
            </w:r>
          </w:p>
        </w:tc>
      </w:tr>
      <w:tr w:rsidR="00CD317D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W_02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Student analizuje podstawowe elementy struktury języ</w:t>
            </w:r>
            <w:r w:rsidR="001B1D96">
              <w:rPr>
                <w:rFonts w:ascii="Times New Roman" w:eastAsia="Times New Roman" w:hAnsi="Times New Roman" w:cs="Times New Roman"/>
              </w:rPr>
              <w:t>ka i zjawiska w nim występujące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K_W03, K_W04, K_W06</w:t>
            </w:r>
          </w:p>
        </w:tc>
      </w:tr>
      <w:tr w:rsidR="00CD317D">
        <w:trPr>
          <w:trHeight w:val="2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W_03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 w:rsidP="00D36F7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Student wyjaśnia </w:t>
            </w:r>
            <w:r w:rsidR="00D36F79">
              <w:rPr>
                <w:rFonts w:ascii="Times New Roman" w:eastAsia="Times New Roman" w:hAnsi="Times New Roman" w:cs="Times New Roman"/>
              </w:rPr>
              <w:t xml:space="preserve">przyczyny różnic obserwowanych pomiędzy językami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K_W01, K_W03</w:t>
            </w:r>
          </w:p>
        </w:tc>
      </w:tr>
      <w:tr w:rsidR="00CD317D">
        <w:trPr>
          <w:trHeight w:val="24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UMIEJĘTNOŚCI</w:t>
            </w:r>
          </w:p>
        </w:tc>
      </w:tr>
      <w:tr w:rsidR="00CD317D">
        <w:trPr>
          <w:trHeight w:val="7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U_01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Student sporządza opis prostych zestawów danych i zjawisk językowych z zastosowaniem odpowiedniej t</w:t>
            </w:r>
            <w:r w:rsidR="00D36F79">
              <w:rPr>
                <w:rFonts w:ascii="Times New Roman" w:eastAsia="Times New Roman" w:hAnsi="Times New Roman" w:cs="Times New Roman"/>
              </w:rPr>
              <w:t>erminologii w języku angielskim</w:t>
            </w:r>
            <w:r w:rsidR="002214EA">
              <w:rPr>
                <w:rFonts w:ascii="Times New Roman" w:eastAsia="Times New Roman" w:hAnsi="Times New Roman" w:cs="Times New Roman"/>
              </w:rPr>
              <w:t xml:space="preserve"> oraz dokonuje prostych, </w:t>
            </w:r>
            <w:proofErr w:type="spellStart"/>
            <w:r w:rsidR="002214EA">
              <w:rPr>
                <w:rFonts w:ascii="Times New Roman" w:eastAsia="Times New Roman" w:hAnsi="Times New Roman" w:cs="Times New Roman"/>
              </w:rPr>
              <w:t>preteoretycznych</w:t>
            </w:r>
            <w:proofErr w:type="spellEnd"/>
            <w:r w:rsidR="002214EA">
              <w:rPr>
                <w:rFonts w:ascii="Times New Roman" w:eastAsia="Times New Roman" w:hAnsi="Times New Roman" w:cs="Times New Roman"/>
              </w:rPr>
              <w:t xml:space="preserve"> analiz danych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K_U01, K_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U02,  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_U06</w:t>
            </w:r>
          </w:p>
        </w:tc>
      </w:tr>
      <w:tr w:rsidR="00CD317D">
        <w:trPr>
          <w:trHeight w:val="7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U_02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Student projektuje samodzielną pracę nad poszerzeniem swojej wiedzy w zakresie omawianych zagadnień z użyciem odpow</w:t>
            </w:r>
            <w:r w:rsidR="002214EA">
              <w:rPr>
                <w:rFonts w:ascii="Times New Roman" w:eastAsia="Times New Roman" w:hAnsi="Times New Roman" w:cs="Times New Roman"/>
              </w:rPr>
              <w:t>iednich tekstów językoznawczych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K_U01, K_U09</w:t>
            </w:r>
          </w:p>
        </w:tc>
      </w:tr>
    </w:tbl>
    <w:p w:rsidR="00CD317D" w:rsidRDefault="009972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przedmiotu/ treści programowe</w:t>
      </w:r>
    </w:p>
    <w:tbl>
      <w:tblPr>
        <w:tblStyle w:val="af0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CD317D">
        <w:trPr>
          <w:trHeight w:val="103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Informacje wstępne. Językoznawstwo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preskryptywne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deskryptywne.</w:t>
            </w:r>
          </w:p>
          <w:p w:rsidR="004B70D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Działy językoznawstwa.</w:t>
            </w:r>
          </w:p>
          <w:p w:rsidR="004B70D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Fonetyka i fonologia I</w:t>
            </w:r>
          </w:p>
          <w:p w:rsidR="004B70D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Fonetyka i fonologia II</w:t>
            </w:r>
          </w:p>
          <w:p w:rsidR="004B70D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 Morfologia</w:t>
            </w:r>
          </w:p>
          <w:p w:rsidR="004B70D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Składnia I</w:t>
            </w:r>
          </w:p>
          <w:p w:rsidR="004B70D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Składnia II</w:t>
            </w:r>
          </w:p>
          <w:p w:rsidR="004B70DD" w:rsidRDefault="004B70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Semantyka</w:t>
            </w:r>
          </w:p>
          <w:p w:rsidR="004B70DD" w:rsidRDefault="004B70D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9. Posumowanie kursu. Test końcowy</w:t>
            </w:r>
          </w:p>
        </w:tc>
      </w:tr>
    </w:tbl>
    <w:p w:rsidR="00CD317D" w:rsidRDefault="00997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Metody realizacji i weryfikacji efektów uczenia się</w:t>
      </w:r>
    </w:p>
    <w:tbl>
      <w:tblPr>
        <w:tblStyle w:val="af1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3100"/>
        <w:gridCol w:w="2610"/>
        <w:gridCol w:w="2476"/>
      </w:tblGrid>
      <w:tr w:rsidR="00CD317D">
        <w:trPr>
          <w:trHeight w:val="7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Symbol efektu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Metody dydaktyczne</w:t>
            </w:r>
          </w:p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(lista wyboru)</w:t>
            </w:r>
            <w:r>
              <w:rPr>
                <w:rFonts w:ascii="Times New Roman" w:eastAsia="Times New Roman" w:hAnsi="Times New Roman" w:cs="Times New Roman"/>
                <w:i/>
                <w:color w:val="F7964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Metody weryfikacji</w:t>
            </w:r>
          </w:p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(lista wyboru)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Sposoby dokumentacji</w:t>
            </w:r>
          </w:p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(lista wyboru)</w:t>
            </w:r>
            <w:r>
              <w:rPr>
                <w:rFonts w:ascii="Times New Roman" w:eastAsia="Times New Roman" w:hAnsi="Times New Roman" w:cs="Times New Roman"/>
                <w:i/>
                <w:color w:val="F79646"/>
              </w:rPr>
              <w:t xml:space="preserve"> </w:t>
            </w:r>
          </w:p>
        </w:tc>
      </w:tr>
      <w:tr w:rsidR="00CD317D">
        <w:trPr>
          <w:trHeight w:val="241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WIEDZA</w:t>
            </w:r>
          </w:p>
        </w:tc>
      </w:tr>
      <w:tr w:rsidR="00CD317D">
        <w:trPr>
          <w:trHeight w:val="7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W_01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Mini-wykład z użyciem środków audiowizualnych; praca z tekstem; dyskusja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Uzupełniony i oceniony test</w:t>
            </w:r>
          </w:p>
        </w:tc>
      </w:tr>
      <w:tr w:rsidR="00CD317D">
        <w:trPr>
          <w:trHeight w:val="10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W_02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Mini-wykład z użyciem środków audiowizualnych; praca z tekstem; studium przypadku; dyskusja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Monitorowanie i informacja zwrotna od grupy lub prowadzącego; test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Uzupełniony i oceniony test; zapis w arkuszu ocen</w:t>
            </w:r>
          </w:p>
        </w:tc>
      </w:tr>
      <w:tr w:rsidR="00CD317D">
        <w:trPr>
          <w:trHeight w:val="50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W_03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Mini-wykład z użyciem środków audiowizualnych; praca z tekstem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Uzupełniony i oceniony test</w:t>
            </w:r>
          </w:p>
        </w:tc>
      </w:tr>
      <w:tr w:rsidR="00CD317D">
        <w:trPr>
          <w:trHeight w:val="241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17D" w:rsidRDefault="009972F3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UMIEJĘTNOŚCI</w:t>
            </w:r>
          </w:p>
        </w:tc>
      </w:tr>
      <w:tr w:rsidR="00CD317D">
        <w:trPr>
          <w:trHeight w:val="129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U_01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Burza mózgów/giełda</w:t>
            </w:r>
          </w:p>
          <w:p w:rsidR="00CD317D" w:rsidRDefault="009972F3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pomysłów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 ćwiczenia praktyczne; praca z tekstem; studium przypadku; dyskusja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Monitorowanie i informacja zwrotna od grupy lub prowadzącego; test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Uzupełniony i oceniony test; zapis w arkuszu ocen</w:t>
            </w:r>
          </w:p>
        </w:tc>
      </w:tr>
      <w:tr w:rsidR="00CD317D">
        <w:trPr>
          <w:trHeight w:val="50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U_02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Dyskusja; praca indywidualna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Uzupełniony i oceniony test</w:t>
            </w:r>
          </w:p>
        </w:tc>
      </w:tr>
    </w:tbl>
    <w:p w:rsidR="00CD317D" w:rsidRDefault="00997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oceny, wagi…</w:t>
      </w:r>
    </w:p>
    <w:p w:rsidR="00CD317D" w:rsidRDefault="009972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Warunkiem zaliczenia przedmiotu jest obecność na zajęciach (z możliwością 2 nieobecności nieusprawiedliwionych). Podstawowym kryterium oceniania </w:t>
      </w:r>
      <w:r w:rsidR="001A63E5">
        <w:rPr>
          <w:rFonts w:ascii="Times New Roman" w:eastAsia="Times New Roman" w:hAnsi="Times New Roman" w:cs="Times New Roman"/>
        </w:rPr>
        <w:t xml:space="preserve">jest test końcowy, będący testem wielokrotnego wyboru i obejmujący zagadnienia wcześniej dokładnie omówione w trakcie zajęć. </w:t>
      </w:r>
    </w:p>
    <w:p w:rsidR="00CD317D" w:rsidRDefault="009972F3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Skala ocen to:</w:t>
      </w:r>
      <w:r>
        <w:rPr>
          <w:rFonts w:ascii="Arimo" w:eastAsia="Arimo" w:hAnsi="Arimo" w:cs="Arimo"/>
        </w:rPr>
        <w:br/>
      </w:r>
      <w:r>
        <w:rPr>
          <w:rFonts w:ascii="Times New Roman" w:eastAsia="Times New Roman" w:hAnsi="Times New Roman" w:cs="Times New Roman"/>
        </w:rPr>
        <w:t>5     93-100%</w:t>
      </w:r>
      <w:r>
        <w:rPr>
          <w:rFonts w:ascii="Arimo" w:eastAsia="Arimo" w:hAnsi="Arimo" w:cs="Arimo"/>
        </w:rPr>
        <w:br/>
      </w:r>
      <w:r>
        <w:rPr>
          <w:rFonts w:ascii="Times New Roman" w:eastAsia="Times New Roman" w:hAnsi="Times New Roman" w:cs="Times New Roman"/>
        </w:rPr>
        <w:t>4.5  85-92%</w:t>
      </w:r>
      <w:r>
        <w:rPr>
          <w:rFonts w:ascii="Arimo" w:eastAsia="Arimo" w:hAnsi="Arimo" w:cs="Arimo"/>
        </w:rPr>
        <w:br/>
      </w:r>
      <w:r>
        <w:rPr>
          <w:rFonts w:ascii="Times New Roman" w:eastAsia="Times New Roman" w:hAnsi="Times New Roman" w:cs="Times New Roman"/>
        </w:rPr>
        <w:t>4     77-84%</w:t>
      </w:r>
      <w:r>
        <w:rPr>
          <w:rFonts w:ascii="Arimo" w:eastAsia="Arimo" w:hAnsi="Arimo" w:cs="Arimo"/>
        </w:rPr>
        <w:br/>
      </w:r>
      <w:r>
        <w:rPr>
          <w:rFonts w:ascii="Times New Roman" w:eastAsia="Times New Roman" w:hAnsi="Times New Roman" w:cs="Times New Roman"/>
        </w:rPr>
        <w:t>3.5  69-76%</w:t>
      </w:r>
      <w:r>
        <w:rPr>
          <w:rFonts w:ascii="Arimo" w:eastAsia="Arimo" w:hAnsi="Arimo" w:cs="Arimo"/>
        </w:rPr>
        <w:br/>
      </w:r>
      <w:r>
        <w:rPr>
          <w:rFonts w:ascii="Times New Roman" w:eastAsia="Times New Roman" w:hAnsi="Times New Roman" w:cs="Times New Roman"/>
        </w:rPr>
        <w:t>3     60-68%</w:t>
      </w:r>
      <w:r>
        <w:rPr>
          <w:rFonts w:ascii="Arimo" w:eastAsia="Arimo" w:hAnsi="Arimo" w:cs="Arimo"/>
        </w:rPr>
        <w:br/>
      </w:r>
      <w:r>
        <w:rPr>
          <w:rFonts w:ascii="Times New Roman" w:eastAsia="Times New Roman" w:hAnsi="Times New Roman" w:cs="Times New Roman"/>
        </w:rPr>
        <w:t>2     0-59%</w:t>
      </w:r>
    </w:p>
    <w:p w:rsidR="00CD317D" w:rsidRDefault="00997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Obciążenie pracą studenta</w:t>
      </w:r>
    </w:p>
    <w:tbl>
      <w:tblPr>
        <w:tblStyle w:val="af2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6"/>
      </w:tblGrid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Forma aktywności studenta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Liczba godzin</w:t>
            </w:r>
          </w:p>
        </w:tc>
      </w:tr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8762B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D317D">
        <w:trPr>
          <w:trHeight w:val="2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Liczba godzin indywidualnej pracy studenta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8762B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1A63E5" w:rsidRDefault="001A63E5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/>
      </w:pPr>
    </w:p>
    <w:p w:rsidR="00CD317D" w:rsidRDefault="00997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Literatura</w:t>
      </w:r>
    </w:p>
    <w:tbl>
      <w:tblPr>
        <w:tblStyle w:val="af3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CD317D">
        <w:trPr>
          <w:trHeight w:val="24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Literatura podstawowa</w:t>
            </w:r>
          </w:p>
        </w:tc>
      </w:tr>
      <w:tr w:rsidR="00CD317D" w:rsidRPr="00C76473">
        <w:trPr>
          <w:trHeight w:val="33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CD317D" w:rsidRPr="001B1D96" w:rsidRDefault="009972F3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proofErr w:type="gram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Fromkin</w:t>
            </w:r>
            <w:proofErr w:type="spell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, V., Rodman, R. and </w:t>
            </w:r>
            <w:proofErr w:type="spell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Hyams</w:t>
            </w:r>
            <w:proofErr w:type="spell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>, N. (2014).</w:t>
            </w:r>
            <w:proofErr w:type="gram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1B1D96">
              <w:rPr>
                <w:rFonts w:ascii="Times New Roman" w:eastAsia="Times New Roman" w:hAnsi="Times New Roman" w:cs="Times New Roman"/>
                <w:i/>
                <w:lang w:val="en-GB"/>
              </w:rPr>
              <w:t>An Introduction to Language</w:t>
            </w:r>
            <w:r w:rsidRPr="001B1D96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proofErr w:type="gram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10</w:t>
            </w:r>
            <w:r w:rsidRPr="001B1D96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th</w:t>
            </w:r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international edition.</w:t>
            </w:r>
            <w:proofErr w:type="gram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New York: Wadsworth </w:t>
            </w:r>
            <w:proofErr w:type="spell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Cengage</w:t>
            </w:r>
            <w:proofErr w:type="spell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Learning.</w:t>
            </w:r>
            <w:proofErr w:type="gramEnd"/>
          </w:p>
          <w:p w:rsidR="00CD317D" w:rsidRPr="001B1D96" w:rsidRDefault="009972F3">
            <w:pPr>
              <w:spacing w:after="0"/>
              <w:rPr>
                <w:lang w:val="en-GB"/>
              </w:rPr>
            </w:pPr>
            <w:proofErr w:type="spellStart"/>
            <w:proofErr w:type="gram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Dodatkowe</w:t>
            </w:r>
            <w:proofErr w:type="spell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materiały</w:t>
            </w:r>
            <w:proofErr w:type="spell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video on-line.</w:t>
            </w:r>
            <w:proofErr w:type="gramEnd"/>
          </w:p>
        </w:tc>
      </w:tr>
      <w:tr w:rsidR="00CD317D">
        <w:trPr>
          <w:trHeight w:val="33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Default="00997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Literatura uzupełniająca</w:t>
            </w:r>
          </w:p>
        </w:tc>
      </w:tr>
      <w:tr w:rsidR="00CD317D" w:rsidRPr="00C76473">
        <w:trPr>
          <w:trHeight w:val="33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17D" w:rsidRPr="001B1D96" w:rsidRDefault="009972F3">
            <w:pPr>
              <w:spacing w:after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O’Grady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W., M.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Dobrovolsky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Katamba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F. (1997).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 w:rsidRPr="001B1D96">
              <w:rPr>
                <w:rFonts w:ascii="Times New Roman" w:eastAsia="Times New Roman" w:hAnsi="Times New Roman" w:cs="Times New Roman"/>
                <w:i/>
                <w:lang w:val="en-GB"/>
              </w:rPr>
              <w:t>Contemporary Linguistics</w:t>
            </w:r>
            <w:r w:rsidRPr="001B1D96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proofErr w:type="gram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Pearson Education.</w:t>
            </w:r>
            <w:proofErr w:type="gramEnd"/>
          </w:p>
          <w:p w:rsidR="00CD317D" w:rsidRPr="001B1D96" w:rsidRDefault="009972F3">
            <w:pPr>
              <w:spacing w:after="0"/>
              <w:rPr>
                <w:lang w:val="en-GB"/>
              </w:rPr>
            </w:pPr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Yule, G. (2010). </w:t>
            </w:r>
            <w:proofErr w:type="gramStart"/>
            <w:r w:rsidRPr="001B1D96">
              <w:rPr>
                <w:rFonts w:ascii="Times New Roman" w:eastAsia="Times New Roman" w:hAnsi="Times New Roman" w:cs="Times New Roman"/>
                <w:i/>
                <w:lang w:val="en-GB"/>
              </w:rPr>
              <w:t>The Study of Language</w:t>
            </w:r>
            <w:r w:rsidRPr="001B1D96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proofErr w:type="gramEnd"/>
            <w:r w:rsidRPr="001B1D9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gramStart"/>
            <w:r w:rsidRPr="001B1D96">
              <w:rPr>
                <w:rFonts w:ascii="Times New Roman" w:eastAsia="Times New Roman" w:hAnsi="Times New Roman" w:cs="Times New Roman"/>
                <w:lang w:val="en-GB"/>
              </w:rPr>
              <w:t>Cambridge: CUP.</w:t>
            </w:r>
            <w:proofErr w:type="gramEnd"/>
          </w:p>
        </w:tc>
      </w:tr>
    </w:tbl>
    <w:p w:rsidR="00CD317D" w:rsidRPr="001B1D96" w:rsidRDefault="00CD317D">
      <w:pPr>
        <w:widowControl w:val="0"/>
        <w:spacing w:before="240" w:after="120" w:line="240" w:lineRule="auto"/>
        <w:rPr>
          <w:lang w:val="en-GB"/>
        </w:rPr>
      </w:pPr>
    </w:p>
    <w:sectPr w:rsidR="00CD317D" w:rsidRPr="001B1D96">
      <w:head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24" w:rsidRDefault="00056924">
      <w:pPr>
        <w:spacing w:after="0" w:line="240" w:lineRule="auto"/>
      </w:pPr>
      <w:r>
        <w:separator/>
      </w:r>
    </w:p>
  </w:endnote>
  <w:endnote w:type="continuationSeparator" w:id="0">
    <w:p w:rsidR="00056924" w:rsidRDefault="0005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24" w:rsidRDefault="00056924">
      <w:pPr>
        <w:spacing w:after="0" w:line="240" w:lineRule="auto"/>
      </w:pPr>
      <w:r>
        <w:separator/>
      </w:r>
    </w:p>
  </w:footnote>
  <w:footnote w:type="continuationSeparator" w:id="0">
    <w:p w:rsidR="00056924" w:rsidRDefault="0005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7D" w:rsidRDefault="009972F3">
    <w:pPr>
      <w:jc w:val="right"/>
    </w:pPr>
    <w:r>
      <w:rPr>
        <w:rFonts w:ascii="Times New Roman" w:eastAsia="Times New Roman" w:hAnsi="Times New Roman" w:cs="Times New Roman"/>
        <w:i/>
      </w:rPr>
      <w:t>Załącznik nr.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95A"/>
    <w:multiLevelType w:val="multilevel"/>
    <w:tmpl w:val="6AACD836"/>
    <w:lvl w:ilvl="0">
      <w:start w:val="6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07" w:hanging="15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>
    <w:nsid w:val="1A7109EB"/>
    <w:multiLevelType w:val="multilevel"/>
    <w:tmpl w:val="7D20C184"/>
    <w:lvl w:ilvl="0">
      <w:start w:val="3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07" w:hanging="15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>
    <w:nsid w:val="1AB67D9E"/>
    <w:multiLevelType w:val="multilevel"/>
    <w:tmpl w:val="BCD2698A"/>
    <w:lvl w:ilvl="0">
      <w:start w:val="8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07" w:hanging="15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>
    <w:nsid w:val="1D2A0BB3"/>
    <w:multiLevelType w:val="multilevel"/>
    <w:tmpl w:val="F1EA2DD2"/>
    <w:lvl w:ilvl="0">
      <w:start w:val="2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07" w:hanging="15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>
    <w:nsid w:val="22972A32"/>
    <w:multiLevelType w:val="multilevel"/>
    <w:tmpl w:val="F0F454D8"/>
    <w:lvl w:ilvl="0">
      <w:start w:val="1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07" w:hanging="15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41AE7F15"/>
    <w:multiLevelType w:val="multilevel"/>
    <w:tmpl w:val="1B60A4E2"/>
    <w:lvl w:ilvl="0">
      <w:start w:val="5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07" w:hanging="15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>
    <w:nsid w:val="44A945F0"/>
    <w:multiLevelType w:val="multilevel"/>
    <w:tmpl w:val="AB964806"/>
    <w:lvl w:ilvl="0">
      <w:start w:val="4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07" w:hanging="15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317D"/>
    <w:rsid w:val="00056924"/>
    <w:rsid w:val="001A63E5"/>
    <w:rsid w:val="001B1D96"/>
    <w:rsid w:val="002214EA"/>
    <w:rsid w:val="00292A67"/>
    <w:rsid w:val="004B70DD"/>
    <w:rsid w:val="008762BA"/>
    <w:rsid w:val="009972F3"/>
    <w:rsid w:val="00C76473"/>
    <w:rsid w:val="00CD317D"/>
    <w:rsid w:val="00D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color w:val="000000"/>
      <w:u w:color="000000"/>
    </w:r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 Neue" w:hAnsi="Helvetica Neue" w:cs="Arial Unicode MS"/>
      <w:color w:val="000000"/>
      <w:u w:color="000000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5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34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color w:val="000000"/>
      <w:u w:color="000000"/>
    </w:r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 Neue" w:hAnsi="Helvetica Neue" w:cs="Arial Unicode MS"/>
      <w:color w:val="000000"/>
      <w:u w:color="000000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5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34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h1LC3hn1OvWYERKK/47qpYqwA==">AMUW2mUqIZd8hIdjpwIL7f3hCYNAUPZoOXMg9B2XJNvNY12CDv2trV7HG3ekgXo3LYQrufk0kBkCvTTciIH1P3iM/MQSPAcSjSBksOC6L9xo7XpgxMtP6c6QhZK17nfTw75pWDuRFw5M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9</cp:revision>
  <dcterms:created xsi:type="dcterms:W3CDTF">2021-09-16T17:15:00Z</dcterms:created>
  <dcterms:modified xsi:type="dcterms:W3CDTF">2025-02-25T12:27:00Z</dcterms:modified>
</cp:coreProperties>
</file>