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27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65"/>
        <w:tblGridChange w:id="0">
          <w:tblGrid>
            <w:gridCol w:w="4606"/>
            <w:gridCol w:w="466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- konwersacje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- Conversation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2" w:right="0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2" w:right="0" w:hanging="1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65"/>
        <w:tblGridChange w:id="0">
          <w:tblGrid>
            <w:gridCol w:w="4606"/>
            <w:gridCol w:w="466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Mark Ó Fionnáin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53"/>
        <w:gridCol w:w="2252"/>
        <w:gridCol w:w="2252"/>
        <w:gridCol w:w="2309"/>
        <w:tblGridChange w:id="0">
          <w:tblGrid>
            <w:gridCol w:w="2253"/>
            <w:gridCol w:w="2252"/>
            <w:gridCol w:w="2252"/>
            <w:gridCol w:w="23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III, IV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4"/>
        <w:gridCol w:w="7037"/>
        <w:tblGridChange w:id="0">
          <w:tblGrid>
            <w:gridCol w:w="2234"/>
            <w:gridCol w:w="70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B1/B1+.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5"/>
        <w:tblW w:w="930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02"/>
        <w:tblGridChange w:id="0">
          <w:tblGrid>
            <w:gridCol w:w="93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Student potrafi wyrazić i uzasadnić własną opinię oraz przedstawić i skomentować opinię innych.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Student potrafi zinterpretować (audio)wizualne materiały stymulacyjne, ale również ilustracje, tabele, cytaty itp.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Student potrafi przeprowadzić dyskusję na temat obejrzanych fragmentów filmów, klipów, reklam oraz przeczytanych fragmentów artykułów o różnorodnej tematyce.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 Student potrafi wyrazić indywidualną opinię i wziąć udział w debacie na tematy przygotowane przez prowadzącego oraz te zaproponowane przez studentów.</w:t>
            </w:r>
          </w:p>
        </w:tc>
      </w:tr>
    </w:tbl>
    <w:p w:rsidR="00000000" w:rsidDel="00000000" w:rsidP="00000000" w:rsidRDefault="00000000" w:rsidRPr="00000000" w14:paraId="00000059">
      <w:pPr>
        <w:shd w:fill="ffffff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894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0"/>
        <w:gridCol w:w="5743"/>
        <w:gridCol w:w="2145"/>
        <w:tblGridChange w:id="0">
          <w:tblGrid>
            <w:gridCol w:w="1060"/>
            <w:gridCol w:w="5743"/>
            <w:gridCol w:w="2145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identyfikuje i porządkuje swoją wiedzę o aspektach kultur krajów anglojęzycznych.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114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rozróżnia, poprawnie rozpoznaje i ilustruje różne rejestry języka angielskiego i aspekty kompetencji językowej: wiedzę deklaratywną (gramatyka, leksyka) i proceduralną (czytanie, pisanie, mówienie, słuchanie).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identyfikuje i porządkuje swoją wiedzę o aspektach kultur krajów anglojęzycznych, wykrywa i klasyfikuje główne koncepcje kultury anglojęzycznej.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opracowuje wystąpienia ustne w języku angielskim na wybrany temat na podstawie artykułów/filmów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K_U03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prezentuje praktyczne i teoretyczne umiejętności językowe na poziomie C1, stosując różne rejestry języka.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konstruuje poprawne logicznie i językowo wypowiedzi wyrażające własne myśli i poglądy a także streszcza opinie innych.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przedstawia i ilustruje w języku angielskim argumenty na rzecz własnych i cudzych poglądów, analizuje je i formułuje wnioski.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pracuje indywidualnie oraz w zespole, przyjmując różne role i współdziałając z innymi osobami.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poszerza swoje kompetencje z zakresu różnorodności kulturowej krajów anglojęzycznych.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organizuje i planuje samodzielną pracę i korzysta z wytworów kultury anglojęzycznej.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Student dyskutuje w grupie zachowując otwartość na opinie i poglądy innych dyskutantów.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hd w:fill="ffffff" w:val="clear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927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72"/>
        <w:tblGridChange w:id="0">
          <w:tblGrid>
            <w:gridCol w:w="9272"/>
          </w:tblGrid>
        </w:tblGridChange>
      </w:tblGrid>
      <w:tr>
        <w:trPr>
          <w:cantSplit w:val="0"/>
          <w:trHeight w:val="30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poszczególnych semestrach tematyka zajęć oscyluje zawsze wokół zagadnień bliskich studentom ze względu na ich istotność i/lub popularność w życiu codziennym. Nacisk położony jest na stopniowe poszerzanie zakresu problematyki omawianej w poszczególnych semestrach. I tak np. w semestrze pierwszym jednym z tematów zajęć jest pytanie “What lessons do we learn as children?”, który znajduje swoją pośrednią kontynuację w zajęciach poświęconych inteligencji emocjonalnej w semestrze VI.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Przykładowe tematy zajęć to: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Shopping, Heroism, Art and Culture, Science and Environment, Humans and Nature, Honesty and Dishonesty, Social Issues</w:t>
            </w:r>
          </w:p>
        </w:tc>
      </w:tr>
    </w:tbl>
    <w:p w:rsidR="00000000" w:rsidDel="00000000" w:rsidP="00000000" w:rsidRDefault="00000000" w:rsidRPr="00000000" w14:paraId="0000008D">
      <w:pPr>
        <w:shd w:fill="ffffff" w:val="clear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125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2"/>
        <w:gridCol w:w="2650"/>
        <w:gridCol w:w="2790"/>
        <w:gridCol w:w="2603"/>
        <w:tblGridChange w:id="0">
          <w:tblGrid>
            <w:gridCol w:w="1082"/>
            <w:gridCol w:w="2650"/>
            <w:gridCol w:w="2790"/>
            <w:gridCol w:w="260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46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i informacja zwrotna od prowadzącego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 i sprawdzone ćwiczenia / Karta oceny z egzaminu</w:t>
            </w:r>
          </w:p>
        </w:tc>
      </w:tr>
      <w:tr>
        <w:trPr>
          <w:cantSplit w:val="0"/>
          <w:trHeight w:val="147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i informacja zwrotna od prowadzącego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 i sprawdzone ćwiczenia / Karta oceny z egzaminu</w:t>
            </w:r>
          </w:p>
        </w:tc>
      </w:tr>
      <w:tr>
        <w:trPr>
          <w:cantSplit w:val="0"/>
          <w:trHeight w:val="154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i informacja zwrotna od prowadzącego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 i sprawdzone ćwiczenia / Karta oceny z egzaminu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61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w czasie zajęć sprawdzająca wiedzę praktyczną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/ Karta oceny z egzaminu</w:t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w czasie zajęć sprawdzająca wiedzę praktyczną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/ Karta oceny z egzaminu</w:t>
            </w:r>
          </w:p>
        </w:tc>
      </w:tr>
      <w:tr>
        <w:trPr>
          <w:cantSplit w:val="0"/>
          <w:trHeight w:val="1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w czasie zajęć sprawdzająca wiedzę praktyczną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/ Karta oceny z egzaminu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w czasie zajęć sprawdzająca wiedzę praktyczną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/ Karta oceny z egzaminu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i informacja zwrotna od prowadzącego / Odpowiedź ustna w czasie zajęć sprawdzająca wiedzę praktyczną / Egzamin ustny na koniec roku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/ Karta oceny z egzaminu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/ Notatki w arkuszu ocen prowadzącego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Odpowiedź ustna i informacja zwrotna od prowadzącego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/ Notatki w arkuszu ocen prowadzącego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highlight w:val="white"/>
          <w:u w:val="none"/>
          <w:rtl w:val="0"/>
        </w:rPr>
        <w:t xml:space="preserve">Podstawowe kryterium oceny to aktywne uczestnictwo w zajęciach oraz zaliczenie wszystkich wymaganych sprawdzianów ustnych (co najmniej po dwa na semestr). Ostatecznym sprawdzianem jest egzamin ustny na koniec każdego roku studiów. W końcowej ocenie brany pod uwagę jest również frekwencja – możliwa 1 nieobecność nieusprawiedliwiona, natomiast każda następna skutkuje obniżeniem oceny końcowej o pół stopnia.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color w:val="000000"/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 Studenci oceniani są według następującej skali: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5,0</w:t>
        <w:tab/>
        <w:t xml:space="preserve">93–100%</w:t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4,5</w:t>
        <w:tab/>
        <w:t xml:space="preserve">85–92%</w:t>
      </w:r>
    </w:p>
    <w:p w:rsidR="00000000" w:rsidDel="00000000" w:rsidP="00000000" w:rsidRDefault="00000000" w:rsidRPr="00000000" w14:paraId="000000D2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</w:t>
        <w:tab/>
        <w:t xml:space="preserve">77–84%</w:t>
      </w:r>
    </w:p>
    <w:p w:rsidR="00000000" w:rsidDel="00000000" w:rsidP="00000000" w:rsidRDefault="00000000" w:rsidRPr="00000000" w14:paraId="000000D3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3,5</w:t>
        <w:tab/>
        <w:t xml:space="preserve">69–76%</w:t>
      </w:r>
    </w:p>
    <w:p w:rsidR="00000000" w:rsidDel="00000000" w:rsidP="00000000" w:rsidRDefault="00000000" w:rsidRPr="00000000" w14:paraId="000000D4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 </w:t>
        <w:tab/>
        <w:t xml:space="preserve">60–68%</w:t>
      </w:r>
    </w:p>
    <w:p w:rsidR="00000000" w:rsidDel="00000000" w:rsidP="00000000" w:rsidRDefault="00000000" w:rsidRPr="00000000" w14:paraId="000000D5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</w:t>
        <w:tab/>
        <w:t xml:space="preserve">0–59%</w:t>
      </w:r>
    </w:p>
    <w:p w:rsidR="00000000" w:rsidDel="00000000" w:rsidP="00000000" w:rsidRDefault="00000000" w:rsidRPr="00000000" w14:paraId="000000D6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200" w:before="0" w:line="288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71.0" w:type="dxa"/>
        <w:jc w:val="left"/>
        <w:tblInd w:w="47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65"/>
        <w:tblGridChange w:id="0">
          <w:tblGrid>
            <w:gridCol w:w="4606"/>
            <w:gridCol w:w="466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200" w:before="0" w:line="288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7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72"/>
        <w:tblGridChange w:id="0">
          <w:tblGrid>
            <w:gridCol w:w="927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Materiały własne prowadzącego oparte na zróżnicowanych źródłach tekstowych oraz audiowizualnych.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Daise, Debra, Charl Norloff, Paul Carne.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Q: Skills for Success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 University Press.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Gammidge, Mick.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Speaking Extra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 University Press. </w:t>
              <w:br w:type="textWrapping"/>
              <w:t xml:space="preserve">MacAndrew, Richard, Ron Martinez.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Instant Discussions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Thomson.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MacAndrew, Richard, Ron Martinez.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Taboos and Issues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Thomson Heinle. </w:t>
              <w:br w:type="textWrapping"/>
              <w:t xml:space="preserve">Morgan, John, Mario Rinvolucri.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Q-Book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Longman.</w:t>
            </w:r>
          </w:p>
        </w:tc>
      </w:tr>
    </w:tbl>
    <w:p w:rsidR="00000000" w:rsidDel="00000000" w:rsidP="00000000" w:rsidRDefault="00000000" w:rsidRPr="00000000" w14:paraId="000000E6">
      <w:pPr>
        <w:shd w:fill="ffffff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line="288" w:lineRule="auto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3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59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5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3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59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5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3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59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5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3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59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5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172" w:hanging="172"/>
      </w:pPr>
      <w:rPr>
        <w:rFonts w:ascii="Trebuchet MS" w:cs="Trebuchet MS" w:eastAsia="Trebuchet MS" w:hAnsi="Trebuchet MS"/>
        <w:b w:val="0"/>
        <w:i w:val="1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72" w:hanging="172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72" w:hanging="172.00000000000023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72" w:hanging="172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72" w:hanging="172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72" w:hanging="172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72" w:hanging="172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72" w:hanging="172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56" w:hanging="156"/>
      </w:pPr>
      <w:rPr>
        <w:rFonts w:ascii="Trebuchet MS" w:cs="Trebuchet MS" w:eastAsia="Trebuchet MS" w:hAnsi="Trebuchet MS"/>
        <w:b w:val="0"/>
        <w:i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3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59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5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31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595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59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eastAsia="Times New Roman"/>
      <w:color w:val="00000a"/>
      <w:kern w:val="2"/>
      <w:sz w:val="24"/>
      <w:szCs w:val="24"/>
      <w:u w:color="00000a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1" w:customStyle="1">
    <w:name w:val="Nagłówek1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kern w:val="2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kern w:val="2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kern w:val="2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Normalny1" w:customStyle="1">
    <w:name w:val="Normalny1"/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styleId="BodyA" w:customStyle="1">
    <w:name w:val="Body A"/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 w:val="1"/>
    <w:rsid w:val="00E91EA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91EA8"/>
    <w:rPr>
      <w:rFonts w:eastAsia="Times New Roman"/>
      <w:color w:val="00000a"/>
      <w:kern w:val="2"/>
      <w:sz w:val="24"/>
      <w:szCs w:val="24"/>
      <w:u w:color="00000a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E91EA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91EA8"/>
    <w:rPr>
      <w:rFonts w:eastAsia="Times New Roman"/>
      <w:color w:val="00000a"/>
      <w:kern w:val="2"/>
      <w:sz w:val="24"/>
      <w:szCs w:val="24"/>
      <w:u w:color="00000a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u0VQ9+4SVFfI427QB2ExuTrbQ==">CgMxLjAyCWguMzBqMHpsbDgAciExUzVoTjlxTDVGcTMycy1CZ1pMcmN1RU1SbGNpUndKeE0=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2021-09-27T10:34:00Z</dcterms:created>
  <dc:creator>Krzysztof Skórski</dc:creator>
</cp:coreProperties>
</file>