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Domylnaczcionkaakapitu"/>
          <w:lang w:eastAsia="ja-JP" w:bidi="ar-SA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539750</wp:posOffset>
            </wp:positionH>
            <wp:positionV relativeFrom="page">
              <wp:posOffset>284480</wp:posOffset>
            </wp:positionV>
            <wp:extent cx="2017395" cy="1056005"/>
            <wp:effectExtent l="0" t="0" r="0" b="0"/>
            <wp:wrapSquare wrapText="bothSides"/>
            <wp:docPr id="1" name="Obraz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jc w:val="center"/>
        <w:rPr/>
      </w:pPr>
      <w:r>
        <w:rPr>
          <w:rStyle w:val="Domylnaczcionkaakapitu"/>
          <w:rFonts w:cs="Times New Roman"/>
          <w:b/>
        </w:rPr>
        <w:t xml:space="preserve">TEZY NA EGZAMIN </w:t>
      </w:r>
      <w:r>
        <w:rPr>
          <w:rStyle w:val="Domylnaczcionkaakapitu"/>
          <w:rFonts w:cs="Times New Roman"/>
          <w:b/>
          <w:u w:val="single"/>
        </w:rPr>
        <w:t xml:space="preserve">LICENCJACKI </w:t>
      </w:r>
      <w:r>
        <w:rPr>
          <w:rStyle w:val="Domylnaczcionkaakapitu"/>
          <w:rFonts w:cs="Times New Roman"/>
          <w:b/>
        </w:rPr>
        <w:t>– PEDAGOGIKA</w:t>
      </w:r>
    </w:p>
    <w:p>
      <w:pPr>
        <w:pStyle w:val="Normal"/>
        <w:spacing w:lineRule="auto" w:line="276"/>
        <w:jc w:val="center"/>
        <w:rPr>
          <w:rFonts w:cs="Times New Roman"/>
          <w:b/>
          <w:b/>
        </w:rPr>
      </w:pPr>
      <w:r>
        <w:rPr>
          <w:rFonts w:cs="Times New Roman"/>
          <w:b/>
        </w:rPr>
        <w:t xml:space="preserve">  </w:t>
      </w:r>
      <w:r>
        <w:rPr>
          <w:rFonts w:cs="Times New Roman"/>
          <w:b/>
        </w:rPr>
        <w:t>od roku akad. 2024/2025</w:t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Ogólne*:</w:t>
      </w:r>
    </w:p>
    <w:p>
      <w:pPr>
        <w:pStyle w:val="Akapitzlist"/>
        <w:ind w:left="144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 Pedagogika jako nauka, jej struktura, dyscypliny i subdyscypliny – charakterystyka;</w:t>
      </w:r>
    </w:p>
    <w:p>
      <w:pPr>
        <w:pStyle w:val="Akapitzlist"/>
        <w:ind w:left="144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 Przedmiot badań i źródła pedagogiki;</w:t>
      </w:r>
    </w:p>
    <w:p>
      <w:pPr>
        <w:pStyle w:val="Akapitzlist"/>
        <w:ind w:left="144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 Metody badań pedagogiki: metody ilościowe i metody jakościowe;</w:t>
      </w:r>
    </w:p>
    <w:p>
      <w:pPr>
        <w:pStyle w:val="Akapitzlist"/>
        <w:ind w:left="144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4. Podstawowe definicje wychowania /m.in. ze względu na zakres, systematyzacja definicji według Stefana Kunowskiego/;</w:t>
      </w:r>
    </w:p>
    <w:p>
      <w:pPr>
        <w:pStyle w:val="Akapitzlist"/>
        <w:ind w:left="1440" w:right="0" w:hanging="0"/>
        <w:rPr/>
      </w:pPr>
      <w:r>
        <w:rPr>
          <w:rStyle w:val="Domylnaczcionkaakapitu"/>
          <w:rFonts w:cs="Times New Roman"/>
          <w:sz w:val="22"/>
          <w:szCs w:val="22"/>
        </w:rPr>
        <w:t>5. Relacje wychowania do nauczania, socjalizacji, inkulturacji, animacji kultury, opieki, resocjalizacji, profilaktyki,</w:t>
      </w:r>
      <w:r>
        <w:rPr>
          <w:rStyle w:val="Domylnaczcionkaakapitu"/>
          <w:rFonts w:cs="Times New Roman"/>
          <w:bCs/>
          <w:sz w:val="22"/>
          <w:szCs w:val="22"/>
        </w:rPr>
        <w:t xml:space="preserve"> prewencji, wspomagania, wczesnej diagnozy, wielostronnej stymulacji i uaktywniania, usprawniania, korekcji, kompensacji, rehabilitacji;</w:t>
      </w:r>
    </w:p>
    <w:p>
      <w:pPr>
        <w:pStyle w:val="Akapitzlist"/>
        <w:ind w:left="1440" w:right="0" w:hanging="0"/>
        <w:rPr/>
      </w:pPr>
      <w:r>
        <w:rPr>
          <w:rStyle w:val="Domylnaczcionkaakapitu"/>
          <w:rFonts w:cs="Times New Roman"/>
          <w:sz w:val="22"/>
          <w:szCs w:val="22"/>
        </w:rPr>
        <w:t>6. Aksjologia wychowania i teleologia wychowania oraz ich podstawowe kategorie: cel wychow</w:t>
      </w:r>
      <w:bookmarkStart w:id="0" w:name="_GoBack1"/>
      <w:bookmarkEnd w:id="0"/>
      <w:r>
        <w:rPr>
          <w:rStyle w:val="Domylnaczcionkaakapitu"/>
          <w:rFonts w:cs="Times New Roman"/>
          <w:sz w:val="22"/>
          <w:szCs w:val="22"/>
        </w:rPr>
        <w:t>ania, ideał wychowania, wzór osobowy;</w:t>
      </w:r>
    </w:p>
    <w:p>
      <w:pPr>
        <w:pStyle w:val="Akapitzlist"/>
        <w:ind w:left="144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7. Taksonomie celów (m.in. taksonomia Blooma i taksonomia ABC Niemierki) oraz operacjonalizacja celów;</w:t>
      </w:r>
    </w:p>
    <w:p>
      <w:pPr>
        <w:pStyle w:val="Akapitzlist"/>
        <w:ind w:left="144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8. Wartości i wartościowanie w wychowaniu i nauczaniu;</w:t>
      </w:r>
    </w:p>
    <w:p>
      <w:pPr>
        <w:pStyle w:val="Akapitzlist"/>
        <w:ind w:left="144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9. Naturalne i instytucjonalne środowiska wychowania – charakterystyka i podziały;</w:t>
      </w:r>
    </w:p>
    <w:p>
      <w:pPr>
        <w:pStyle w:val="Akapitzlist"/>
        <w:ind w:left="144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10. Interdyscyplinarność, intradyscyplinarność, transdyscyplinarność i wielodyscyplinarność w pedagogice;</w:t>
      </w:r>
    </w:p>
    <w:p>
      <w:pPr>
        <w:pStyle w:val="Akapitzlis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Akapitzlis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Tezy dodatkowe z podziałem na poszczególne specjalności:</w:t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/>
      </w:pPr>
      <w:r>
        <w:rPr>
          <w:rStyle w:val="Domylnaczcionkaakapitu"/>
          <w:rFonts w:cs="Times New Roman"/>
          <w:b/>
          <w:bCs/>
          <w:sz w:val="22"/>
          <w:szCs w:val="22"/>
          <w:u w:val="single"/>
        </w:rPr>
        <w:t>Specjalność I: Terapia pedagogiczna z pedagogiką szkolną</w:t>
      </w:r>
    </w:p>
    <w:p>
      <w:pPr>
        <w:pStyle w:val="Normal"/>
        <w:shd w:fill="FFFFFF" w:val="clear"/>
        <w:rPr>
          <w:rFonts w:cs="Times New Roman"/>
          <w:b/>
          <w:b/>
          <w:bCs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  <w:u w:val="single"/>
        </w:rPr>
      </w:r>
    </w:p>
    <w:p>
      <w:pPr>
        <w:pStyle w:val="Akapitzlist"/>
        <w:numPr>
          <w:ilvl w:val="0"/>
          <w:numId w:val="2"/>
        </w:numPr>
        <w:shd w:fill="FFFFFF" w:val="clear"/>
        <w:tabs>
          <w:tab w:val="left" w:pos="1428" w:leader="none"/>
        </w:tabs>
        <w:ind w:left="1428" w:right="0" w:hanging="360"/>
        <w:jc w:val="both"/>
        <w:rPr/>
      </w:pPr>
      <w:r>
        <w:rPr>
          <w:rStyle w:val="Domylnaczcionkaakapitu"/>
          <w:rFonts w:cs="Times New Roman"/>
          <w:sz w:val="22"/>
          <w:szCs w:val="22"/>
          <w:shd w:fill="FFFFFF" w:val="clear"/>
        </w:rPr>
        <w:t>Podstawy pedagogiki korekcyjnej - pojęcie, cele, zadania, zasady, przedmiot i podmiot oddziaływań pedagogiki korekcyjnej;</w:t>
      </w:r>
    </w:p>
    <w:p>
      <w:pPr>
        <w:pStyle w:val="Akapitzlist"/>
        <w:numPr>
          <w:ilvl w:val="0"/>
          <w:numId w:val="2"/>
        </w:numPr>
        <w:shd w:fill="FFFFFF" w:val="clear"/>
        <w:tabs>
          <w:tab w:val="left" w:pos="1428" w:leader="none"/>
        </w:tabs>
        <w:ind w:left="1428" w:right="0" w:hanging="360"/>
        <w:jc w:val="both"/>
        <w:rPr/>
      </w:pPr>
      <w:r>
        <w:rPr>
          <w:rStyle w:val="Domylnaczcionkaakapitu"/>
          <w:rFonts w:cs="Times New Roman"/>
          <w:sz w:val="22"/>
          <w:szCs w:val="22"/>
          <w:shd w:fill="FFFFFF" w:val="clear"/>
        </w:rPr>
        <w:t>Obraz kliniczny i psychologiczny ucznia ze specyficznymi trudnościami w uczeniu się - specyficzne symptomy trudności w uczeniu się;</w:t>
      </w:r>
    </w:p>
    <w:p>
      <w:pPr>
        <w:pStyle w:val="Akapitzlist"/>
        <w:numPr>
          <w:ilvl w:val="0"/>
          <w:numId w:val="2"/>
        </w:numPr>
        <w:shd w:fill="FFFFFF" w:val="clear"/>
        <w:tabs>
          <w:tab w:val="left" w:pos="1428" w:leader="none"/>
        </w:tabs>
        <w:ind w:left="1428" w:right="0" w:hanging="360"/>
        <w:jc w:val="both"/>
        <w:rPr/>
      </w:pPr>
      <w:r>
        <w:rPr>
          <w:rStyle w:val="Domylnaczcionkaakapitu"/>
          <w:rFonts w:cs="Times New Roman"/>
          <w:sz w:val="22"/>
          <w:szCs w:val="22"/>
          <w:shd w:fill="FFFFFF" w:val="clear"/>
        </w:rPr>
        <w:t>Wskaźniki świadczące o ryzyku specyficznych trudności; działania profilaktyczne zapobiegające trudnościom w uczeniu się;</w:t>
      </w:r>
    </w:p>
    <w:p>
      <w:pPr>
        <w:pStyle w:val="Akapitzlist"/>
        <w:numPr>
          <w:ilvl w:val="0"/>
          <w:numId w:val="2"/>
        </w:numPr>
        <w:shd w:fill="FFFFFF" w:val="clear"/>
        <w:tabs>
          <w:tab w:val="left" w:pos="1428" w:leader="none"/>
        </w:tabs>
        <w:ind w:left="1428" w:right="0" w:hanging="360"/>
        <w:jc w:val="both"/>
        <w:rPr/>
      </w:pPr>
      <w:r>
        <w:rPr>
          <w:rStyle w:val="Domylnaczcionkaakapitu"/>
          <w:rFonts w:cs="Times New Roman"/>
          <w:sz w:val="22"/>
          <w:szCs w:val="22"/>
          <w:shd w:fill="FFFFFF" w:val="clear"/>
        </w:rPr>
        <w:t>Pedagogiczne postępowanie diagnostyczne wobec dziecka z grupy ryzyka specyficznych trudności w uczeniu się oraz ucznia ze specyficznymi trudnościami w uczeniu się z uwzględnieniem oceny funkcjonalnej;</w:t>
      </w:r>
    </w:p>
    <w:p>
      <w:pPr>
        <w:pStyle w:val="Akapitzlist"/>
        <w:numPr>
          <w:ilvl w:val="0"/>
          <w:numId w:val="2"/>
        </w:numPr>
        <w:shd w:fill="FFFFFF" w:val="clear"/>
        <w:tabs>
          <w:tab w:val="left" w:pos="1428" w:leader="none"/>
        </w:tabs>
        <w:ind w:left="1428" w:right="0" w:hanging="360"/>
        <w:jc w:val="both"/>
        <w:rPr/>
      </w:pPr>
      <w:r>
        <w:rPr>
          <w:rStyle w:val="Domylnaczcionkaakapitu"/>
          <w:rFonts w:cs="Times New Roman"/>
          <w:sz w:val="22"/>
          <w:szCs w:val="22"/>
          <w:shd w:fill="FFFFFF" w:val="clear"/>
        </w:rPr>
        <w:t>Wybrane n</w:t>
      </w:r>
      <w:r>
        <w:rPr>
          <w:rStyle w:val="Domylnaczcionkaakapitu"/>
          <w:rFonts w:cs="Times New Roman"/>
          <w:sz w:val="22"/>
          <w:szCs w:val="22"/>
          <w:shd w:fill="FFFFFF" w:val="clear"/>
        </w:rPr>
        <w:t>arzędzia diagnostyczne do diagnozy pedagogicznej dziecka  przeprowadzanej  w  przedszkolu, szkole i poradni psychologiczno-pedagogicznej;</w:t>
      </w:r>
    </w:p>
    <w:p>
      <w:pPr>
        <w:pStyle w:val="Akapitzlist"/>
        <w:numPr>
          <w:ilvl w:val="0"/>
          <w:numId w:val="2"/>
        </w:numPr>
        <w:shd w:fill="FFFFFF" w:val="clear"/>
        <w:tabs>
          <w:tab w:val="left" w:pos="1428" w:leader="none"/>
        </w:tabs>
        <w:ind w:left="1428" w:right="0" w:hanging="360"/>
        <w:jc w:val="both"/>
        <w:rPr/>
      </w:pPr>
      <w:r>
        <w:rPr>
          <w:rStyle w:val="Domylnaczcionkaakapitu"/>
          <w:rFonts w:cs="Times New Roman"/>
          <w:sz w:val="22"/>
          <w:szCs w:val="22"/>
          <w:shd w:fill="FFFFFF" w:val="clear"/>
        </w:rPr>
        <w:t>Metody terapeutyczne stosowane w pracy z dzieckiem z grupy ryzyka specyficznych trudności w uczeniu się i z uczniem ze specyficznymi trudnościami w uczeniu się;</w:t>
      </w:r>
    </w:p>
    <w:p>
      <w:pPr>
        <w:pStyle w:val="Akapitzlist"/>
        <w:numPr>
          <w:ilvl w:val="0"/>
          <w:numId w:val="2"/>
        </w:numPr>
        <w:shd w:fill="FFFFFF" w:val="clear"/>
        <w:tabs>
          <w:tab w:val="left" w:pos="1428" w:leader="none"/>
        </w:tabs>
        <w:ind w:left="1428" w:right="0" w:hanging="360"/>
        <w:jc w:val="both"/>
        <w:rPr/>
      </w:pPr>
      <w:r>
        <w:rPr>
          <w:rStyle w:val="Domylnaczcionkaakapitu"/>
          <w:rFonts w:cs="Times New Roman"/>
          <w:shd w:fill="FFFFFF" w:val="clear"/>
        </w:rPr>
        <w:t>Pedagogiczne postępowanie wspierające wobec ucznia z grupy ryzyka specyficznych trudności w uczeniu się oraz ucznia ze specyficznymi trudnościami w uczeniu oraz jego rodziców, prawnych opiekunów i nauczycieli z uwzględnieniem podstaw prawnych i możliwych form wsparcia.</w:t>
      </w:r>
    </w:p>
    <w:p>
      <w:pPr>
        <w:pStyle w:val="Akapitzlist"/>
        <w:shd w:fill="FFFFFF" w:val="clea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Akapitzlis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Akapitzlis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/>
      </w:pPr>
      <w:r>
        <w:rPr>
          <w:rStyle w:val="Domylnaczcionkaakapitu"/>
          <w:rFonts w:cs="Times New Roman"/>
          <w:b/>
          <w:bCs/>
          <w:sz w:val="22"/>
          <w:szCs w:val="22"/>
          <w:u w:val="single"/>
        </w:rPr>
        <w:t>Specjalność II: Pedagogika rodziny, poradnictw</w:t>
      </w:r>
      <w:r>
        <w:rPr>
          <w:rStyle w:val="Domylnaczcionkaakapitu"/>
          <w:rFonts w:cs="Times New Roman"/>
          <w:b/>
          <w:bCs/>
          <w:sz w:val="22"/>
          <w:szCs w:val="22"/>
          <w:u w:val="single"/>
        </w:rPr>
        <w:t>o</w:t>
      </w:r>
      <w:r>
        <w:rPr>
          <w:rStyle w:val="Domylnaczcionkaakapitu"/>
          <w:rFonts w:cs="Times New Roman"/>
          <w:b/>
          <w:bCs/>
          <w:sz w:val="22"/>
          <w:szCs w:val="22"/>
          <w:u w:val="single"/>
        </w:rPr>
        <w:t xml:space="preserve"> i kuratela rodzi</w:t>
      </w:r>
      <w:r>
        <w:rPr>
          <w:rStyle w:val="Domylnaczcionkaakapitu"/>
          <w:rFonts w:cs="Times New Roman"/>
          <w:b/>
          <w:bCs/>
          <w:sz w:val="22"/>
          <w:szCs w:val="22"/>
          <w:u w:val="single"/>
        </w:rPr>
        <w:t>nn</w:t>
      </w:r>
      <w:r>
        <w:rPr>
          <w:rStyle w:val="Domylnaczcionkaakapitu"/>
          <w:rFonts w:cs="Times New Roman"/>
          <w:b/>
          <w:bCs/>
          <w:sz w:val="22"/>
          <w:szCs w:val="22"/>
          <w:u w:val="single"/>
        </w:rPr>
        <w:t>a</w:t>
      </w:r>
    </w:p>
    <w:p>
      <w:pPr>
        <w:pStyle w:val="Normalny"/>
        <w:shd w:fill="FFFFFF" w:val="clear"/>
        <w:suppressAutoHyphens w:val="false"/>
        <w:spacing w:lineRule="atLeast" w:line="128"/>
        <w:textAlignment w:val="auto"/>
        <w:rPr/>
      </w:pPr>
      <w:r>
        <w:rPr>
          <w:rStyle w:val="Domylnaczcionkaakapitu"/>
          <w:rFonts w:eastAsia="Times New Roman" w:cs="Calibri"/>
          <w:color w:val="000000"/>
          <w:kern w:val="0"/>
          <w:sz w:val="22"/>
          <w:szCs w:val="22"/>
          <w:lang w:eastAsia="ja-JP" w:bidi="ar-SA"/>
        </w:rPr>
        <w:t>1. Przedmiot i metody badań w pedagogice rodziny;</w:t>
      </w:r>
    </w:p>
    <w:p>
      <w:pPr>
        <w:pStyle w:val="Normalny"/>
        <w:shd w:fill="FFFFFF" w:val="clear"/>
        <w:suppressAutoHyphens w:val="false"/>
        <w:spacing w:lineRule="atLeast" w:line="128"/>
        <w:textAlignment w:val="auto"/>
        <w:rPr/>
      </w:pPr>
      <w:r>
        <w:rPr>
          <w:rStyle w:val="Domylnaczcionkaakapitu"/>
          <w:rFonts w:eastAsia="Times New Roman" w:cs="Calibri"/>
          <w:color w:val="000000"/>
          <w:kern w:val="0"/>
          <w:sz w:val="22"/>
          <w:szCs w:val="22"/>
          <w:lang w:eastAsia="ja-JP" w:bidi="ar-SA"/>
        </w:rPr>
        <w:t>2. Systemowe ujęcie rodziny (specyfika, podstawowe terminy, szkoły, implikacje dla praktyki pedagogicznej);</w:t>
      </w:r>
    </w:p>
    <w:p>
      <w:pPr>
        <w:pStyle w:val="Normalny"/>
        <w:shd w:fill="FFFFFF" w:val="clear"/>
        <w:suppressAutoHyphens w:val="false"/>
        <w:spacing w:lineRule="atLeast" w:line="128"/>
        <w:textAlignment w:val="auto"/>
        <w:rPr/>
      </w:pPr>
      <w:r>
        <w:rPr>
          <w:rStyle w:val="Domylnaczcionkaakapitu"/>
          <w:rFonts w:eastAsia="Times New Roman" w:cs="Calibri"/>
          <w:color w:val="222222"/>
          <w:kern w:val="0"/>
          <w:sz w:val="22"/>
          <w:szCs w:val="22"/>
          <w:lang w:eastAsia="ja-JP" w:bidi="ar-SA"/>
        </w:rPr>
        <w:t>3. Role rodzinne i interakcje rodzinne w diagnozie, profilaktyce i terapii;</w:t>
      </w:r>
    </w:p>
    <w:p>
      <w:pPr>
        <w:pStyle w:val="Normalny"/>
        <w:shd w:fill="FFFFFF" w:val="clear"/>
        <w:suppressAutoHyphens w:val="false"/>
        <w:spacing w:lineRule="atLeast" w:line="128"/>
        <w:textAlignment w:val="auto"/>
        <w:rPr/>
      </w:pPr>
      <w:r>
        <w:rPr>
          <w:rStyle w:val="Domylnaczcionkaakapitu"/>
          <w:rFonts w:eastAsia="Times New Roman" w:cs="Calibri"/>
          <w:color w:val="000000"/>
          <w:kern w:val="0"/>
          <w:sz w:val="22"/>
          <w:szCs w:val="22"/>
          <w:lang w:eastAsia="ja-JP" w:bidi="ar-SA"/>
        </w:rPr>
        <w:t>4. Funkcjonalność i dysfunkcjonalność rodziny jako środowiska wychowawczego w procesie diagnozy pedagogicznej;</w:t>
      </w:r>
    </w:p>
    <w:p>
      <w:pPr>
        <w:pStyle w:val="Normalny"/>
        <w:shd w:fill="FFFFFF" w:val="clear"/>
        <w:suppressAutoHyphens w:val="false"/>
        <w:spacing w:lineRule="atLeast" w:line="128"/>
        <w:textAlignment w:val="auto"/>
        <w:rPr/>
      </w:pPr>
      <w:r>
        <w:rPr>
          <w:rStyle w:val="Domylnaczcionkaakapitu"/>
          <w:rFonts w:eastAsia="Times New Roman" w:cs="Calibri"/>
          <w:color w:val="000000"/>
          <w:kern w:val="0"/>
          <w:sz w:val="22"/>
          <w:szCs w:val="22"/>
          <w:lang w:eastAsia="ja-JP" w:bidi="ar-SA"/>
        </w:rPr>
        <w:t>5</w:t>
      </w:r>
      <w:r>
        <w:rPr>
          <w:rStyle w:val="Domylnaczcionkaakapitu"/>
          <w:rFonts w:eastAsia="Times New Roman" w:cs="Calibri"/>
          <w:color w:val="FF0000"/>
          <w:kern w:val="0"/>
          <w:sz w:val="22"/>
          <w:szCs w:val="22"/>
          <w:lang w:eastAsia="ja-JP" w:bidi="ar-SA"/>
        </w:rPr>
        <w:t>. </w:t>
      </w:r>
      <w:r>
        <w:rPr>
          <w:rStyle w:val="Domylnaczcionkaakapitu"/>
          <w:rFonts w:eastAsia="Times New Roman" w:cs="Calibri"/>
          <w:color w:val="000000"/>
          <w:kern w:val="0"/>
          <w:sz w:val="22"/>
          <w:szCs w:val="22"/>
          <w:lang w:eastAsia="ja-JP" w:bidi="ar-SA"/>
        </w:rPr>
        <w:t>Konflikty w rodzinie - obszary, eskalacja i rozwiązywanie oraz problemy i potrzeby rodziny w poszczególnych etapach życia małżeńsko-rodzinnego;</w:t>
      </w:r>
    </w:p>
    <w:p>
      <w:pPr>
        <w:pStyle w:val="Normalny"/>
        <w:shd w:fill="FFFFFF" w:val="clear"/>
        <w:suppressAutoHyphens w:val="false"/>
        <w:spacing w:lineRule="atLeast" w:line="128"/>
        <w:textAlignment w:val="auto"/>
        <w:rPr/>
      </w:pPr>
      <w:r>
        <w:rPr>
          <w:rStyle w:val="Domylnaczcionkaakapitu"/>
          <w:rFonts w:eastAsia="Times New Roman" w:cs="Calibri"/>
          <w:color w:val="000000"/>
          <w:kern w:val="0"/>
          <w:sz w:val="22"/>
          <w:szCs w:val="22"/>
          <w:lang w:eastAsia="ja-JP" w:bidi="ar-SA"/>
        </w:rPr>
        <w:t>6</w:t>
      </w:r>
      <w:r>
        <w:rPr>
          <w:rStyle w:val="Domylnaczcionkaakapitu"/>
          <w:rFonts w:eastAsia="Times New Roman" w:cs="Calibri"/>
          <w:color w:val="FF0000"/>
          <w:kern w:val="0"/>
          <w:sz w:val="22"/>
          <w:szCs w:val="22"/>
          <w:lang w:eastAsia="ja-JP" w:bidi="ar-SA"/>
        </w:rPr>
        <w:t>. </w:t>
      </w:r>
      <w:r>
        <w:rPr>
          <w:rStyle w:val="Domylnaczcionkaakapitu"/>
          <w:rFonts w:eastAsia="Times New Roman" w:cs="Calibri"/>
          <w:color w:val="000000"/>
          <w:kern w:val="0"/>
          <w:sz w:val="22"/>
          <w:szCs w:val="22"/>
          <w:lang w:eastAsia="ja-JP" w:bidi="ar-SA"/>
        </w:rPr>
        <w:t>Poradnictwo rodzinne wobec problemów wychowawczych i sytuacji trudnych w rodzinie;</w:t>
      </w:r>
    </w:p>
    <w:p>
      <w:pPr>
        <w:pStyle w:val="Normalny"/>
        <w:shd w:fill="FFFFFF" w:val="clear"/>
        <w:suppressAutoHyphens w:val="false"/>
        <w:spacing w:lineRule="atLeast" w:line="128"/>
        <w:textAlignment w:val="auto"/>
        <w:rPr/>
      </w:pPr>
      <w:r>
        <w:rPr>
          <w:rStyle w:val="Domylnaczcionkaakapitu"/>
          <w:rFonts w:eastAsia="Times New Roman" w:cs="Calibri"/>
          <w:color w:val="000000"/>
          <w:kern w:val="0"/>
          <w:sz w:val="22"/>
          <w:szCs w:val="22"/>
          <w:lang w:eastAsia="ja-JP" w:bidi="ar-SA"/>
        </w:rPr>
        <w:t>7. Zakres i rodzaj pomocy pedagogicznej rodzinie.</w:t>
      </w:r>
    </w:p>
    <w:p>
      <w:pPr>
        <w:pStyle w:val="Akapitzlist"/>
        <w:ind w:left="0" w:right="0" w:hanging="0"/>
        <w:rPr>
          <w:rFonts w:cs="Times New Roman"/>
          <w:color w:val="222222"/>
          <w:sz w:val="22"/>
          <w:szCs w:val="22"/>
        </w:rPr>
      </w:pPr>
      <w:r>
        <w:rPr>
          <w:rFonts w:cs="Times New Roman"/>
          <w:color w:val="222222"/>
          <w:sz w:val="22"/>
          <w:szCs w:val="22"/>
        </w:rPr>
      </w:r>
    </w:p>
    <w:p>
      <w:pPr>
        <w:pStyle w:val="Akapitzlist"/>
        <w:ind w:left="0" w:right="0" w:hanging="0"/>
        <w:rPr>
          <w:rFonts w:cs="Times New Roman"/>
          <w:color w:val="222222"/>
          <w:sz w:val="22"/>
          <w:szCs w:val="22"/>
        </w:rPr>
      </w:pPr>
      <w:r>
        <w:rPr>
          <w:rFonts w:cs="Times New Roman"/>
          <w:color w:val="222222"/>
          <w:sz w:val="22"/>
          <w:szCs w:val="22"/>
        </w:rPr>
      </w:r>
    </w:p>
    <w:p>
      <w:pPr>
        <w:pStyle w:val="Akapitzlist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hd w:fill="FFFFFF" w:val="clear"/>
        <w:rPr/>
      </w:pPr>
      <w:r>
        <w:rPr>
          <w:rStyle w:val="Domylnaczcionkaakapitu"/>
          <w:rFonts w:cs="Times New Roman"/>
          <w:b/>
          <w:bCs/>
          <w:color w:val="222222"/>
          <w:sz w:val="22"/>
          <w:szCs w:val="22"/>
          <w:u w:val="single"/>
        </w:rPr>
        <w:t xml:space="preserve">Specjalność III: Pedagogika opiekuńczo-wychowawcza </w:t>
      </w:r>
      <w:r>
        <w:rPr>
          <w:rStyle w:val="Domylnaczcionkaakapitu"/>
          <w:rFonts w:cs="Times New Roman"/>
          <w:b/>
          <w:bCs/>
          <w:color w:val="222222"/>
          <w:sz w:val="22"/>
          <w:szCs w:val="22"/>
          <w:u w:val="single"/>
        </w:rPr>
        <w:t>z</w:t>
      </w:r>
      <w:r>
        <w:rPr>
          <w:rStyle w:val="Domylnaczcionkaakapitu"/>
          <w:rFonts w:cs="Times New Roman"/>
          <w:b/>
          <w:bCs/>
          <w:color w:val="222222"/>
          <w:sz w:val="22"/>
          <w:szCs w:val="22"/>
          <w:u w:val="single"/>
        </w:rPr>
        <w:t xml:space="preserve"> resocjalizacj</w:t>
      </w:r>
      <w:r>
        <w:rPr>
          <w:rStyle w:val="Domylnaczcionkaakapitu"/>
          <w:rFonts w:cs="Times New Roman"/>
          <w:b/>
          <w:bCs/>
          <w:color w:val="222222"/>
          <w:sz w:val="22"/>
          <w:szCs w:val="22"/>
          <w:u w:val="single"/>
        </w:rPr>
        <w:t>ą</w:t>
      </w:r>
    </w:p>
    <w:p>
      <w:pPr>
        <w:pStyle w:val="Akapitzlist"/>
        <w:shd w:fill="FFFFFF" w:val="clear"/>
        <w:ind w:left="0" w:right="0" w:hanging="0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1. Charakterystyka wychowania resocjalizującego;</w:t>
      </w:r>
    </w:p>
    <w:p>
      <w:pPr>
        <w:pStyle w:val="Akapitzlist"/>
        <w:shd w:fill="FFFFFF" w:val="clear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 Charakterystyka opieki międzyludzkiej ze szczególnym uwzględnieniem relacji: opieka – wychowanie - pomoc;</w:t>
      </w:r>
    </w:p>
    <w:p>
      <w:pPr>
        <w:pStyle w:val="Akapitzlist"/>
        <w:shd w:fill="FFFFFF" w:val="clear"/>
        <w:ind w:left="0" w:right="0" w:hanging="0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3. Nieletni sprawcy czynów zabronionych jako podmiot wychowania resocjalizującego;</w:t>
      </w:r>
    </w:p>
    <w:p>
      <w:pPr>
        <w:pStyle w:val="Akapitzlist"/>
        <w:shd w:fill="FFFFFF" w:val="clear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4. Sieroctwo jako aktualny problem społeczny – jego rodzaje, uwarunkowania i wyzwania dla pracy pedagogicznej;</w:t>
      </w:r>
    </w:p>
    <w:p>
      <w:pPr>
        <w:pStyle w:val="Akapitzlist"/>
        <w:shd w:fill="FFFFFF" w:val="clear"/>
        <w:ind w:left="0" w:right="0" w:hanging="0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5. Kuratela sądowa w systemie resocjalizacji nieletnich;</w:t>
      </w:r>
    </w:p>
    <w:p>
      <w:pPr>
        <w:pStyle w:val="Akapitzlist"/>
        <w:shd w:fill="FFFFFF" w:val="clear"/>
        <w:ind w:left="0" w:right="0" w:hanging="0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6. Rodzinne formy opieki zastępczej ( podział, zadania, walory);</w:t>
      </w:r>
    </w:p>
    <w:p>
      <w:pPr>
        <w:pStyle w:val="Akapitzlist"/>
        <w:shd w:fill="FFFFFF" w:val="clear"/>
        <w:ind w:left="0" w:right="0" w:hanging="0"/>
        <w:rPr/>
      </w:pPr>
      <w:r>
        <w:rPr>
          <w:rStyle w:val="Domylnaczcionkaakapitu"/>
          <w:rFonts w:eastAsia="Times New Roman" w:cs="Times New Roman"/>
          <w:sz w:val="22"/>
          <w:szCs w:val="22"/>
          <w:lang w:eastAsia="pl-PL"/>
        </w:rPr>
        <w:t xml:space="preserve">7. </w:t>
      </w:r>
      <w:r>
        <w:rPr>
          <w:rStyle w:val="Domylnaczcionkaakapitu"/>
          <w:rFonts w:cs="Times New Roman"/>
          <w:sz w:val="22"/>
          <w:szCs w:val="22"/>
        </w:rPr>
        <w:t>Praca socjalna wobec współczesnych problemów w zakresie opieki.</w:t>
      </w:r>
    </w:p>
    <w:p>
      <w:pPr>
        <w:pStyle w:val="Normal"/>
        <w:shd w:fill="FFFFFF" w:val="clear"/>
        <w:rPr>
          <w:rFonts w:cs="Times New Roman"/>
          <w:b/>
          <w:b/>
          <w:bCs/>
          <w:sz w:val="22"/>
          <w:szCs w:val="22"/>
          <w:u w:val="single"/>
          <w:shd w:fill="FFFFFF" w:val="clear"/>
          <w:lang w:eastAsia="pl-PL"/>
        </w:rPr>
      </w:pPr>
      <w:r>
        <w:rPr>
          <w:rFonts w:cs="Times New Roman"/>
          <w:b/>
          <w:bCs/>
          <w:sz w:val="22"/>
          <w:szCs w:val="22"/>
          <w:u w:val="single"/>
          <w:shd w:fill="FFFFFF" w:val="clear"/>
          <w:lang w:eastAsia="pl-PL"/>
        </w:rPr>
      </w:r>
    </w:p>
    <w:p>
      <w:pPr>
        <w:pStyle w:val="Normal"/>
        <w:shd w:fill="FFFFFF" w:val="clear"/>
        <w:spacing w:before="0" w:after="160"/>
        <w:jc w:val="both"/>
        <w:rPr>
          <w:rFonts w:eastAsia="Times New Roman" w:cs="Times New Roman"/>
          <w:color w:val="333333"/>
          <w:sz w:val="22"/>
          <w:szCs w:val="22"/>
          <w:lang w:eastAsia="pl-PL"/>
        </w:rPr>
      </w:pPr>
      <w:r>
        <w:rPr>
          <w:rFonts w:eastAsia="Times New Roman" w:cs="Times New Roman"/>
          <w:color w:val="333333"/>
          <w:sz w:val="22"/>
          <w:szCs w:val="22"/>
          <w:lang w:eastAsia="pl-PL"/>
        </w:rPr>
      </w:r>
    </w:p>
    <w:p>
      <w:pPr>
        <w:pStyle w:val="Akapitzlist"/>
        <w:shd w:fill="FFFFFF" w:val="clear"/>
        <w:rPr>
          <w:rFonts w:eastAsia="Times New Roman" w:cs="Times New Roman"/>
          <w:color w:val="333333"/>
          <w:sz w:val="22"/>
          <w:szCs w:val="22"/>
          <w:lang w:eastAsia="pl-PL"/>
        </w:rPr>
      </w:pPr>
      <w:r>
        <w:rPr>
          <w:rFonts w:eastAsia="Times New Roman" w:cs="Times New Roman"/>
          <w:color w:val="333333"/>
          <w:sz w:val="22"/>
          <w:szCs w:val="22"/>
          <w:lang w:eastAsia="pl-PL"/>
        </w:rPr>
      </w:r>
    </w:p>
    <w:p>
      <w:pPr>
        <w:pStyle w:val="Akapitzlist"/>
        <w:shd w:fill="FFFFFF" w:val="clear"/>
        <w:rPr>
          <w:rFonts w:eastAsia="Times New Roman" w:cs="Times New Roman"/>
          <w:color w:val="333333"/>
          <w:sz w:val="22"/>
          <w:szCs w:val="22"/>
          <w:lang w:eastAsia="pl-PL"/>
        </w:rPr>
      </w:pPr>
      <w:r>
        <w:rPr>
          <w:rFonts w:eastAsia="Times New Roman" w:cs="Times New Roman"/>
          <w:color w:val="333333"/>
          <w:sz w:val="22"/>
          <w:szCs w:val="22"/>
          <w:lang w:eastAsia="pl-PL"/>
        </w:rPr>
      </w:r>
    </w:p>
    <w:p>
      <w:pPr>
        <w:pStyle w:val="Akapitzlist"/>
        <w:shd w:fill="FFFFFF" w:val="clear"/>
        <w:rPr>
          <w:rFonts w:eastAsia="Times New Roman" w:cs="Times New Roman"/>
          <w:color w:val="333333"/>
          <w:sz w:val="22"/>
          <w:szCs w:val="22"/>
          <w:lang w:eastAsia="pl-PL"/>
        </w:rPr>
      </w:pPr>
      <w:r>
        <w:rPr>
          <w:rFonts w:eastAsia="Times New Roman" w:cs="Times New Roman"/>
          <w:color w:val="333333"/>
          <w:sz w:val="22"/>
          <w:szCs w:val="22"/>
          <w:lang w:eastAsia="pl-PL"/>
        </w:rPr>
      </w:r>
    </w:p>
    <w:p>
      <w:pPr>
        <w:pStyle w:val="Akapitzlist"/>
        <w:shd w:fill="FFFFFF" w:val="clear"/>
        <w:rPr>
          <w:rFonts w:eastAsia="Times New Roman" w:cs="Times New Roman"/>
          <w:color w:val="333333"/>
          <w:sz w:val="22"/>
          <w:szCs w:val="22"/>
          <w:lang w:eastAsia="pl-PL"/>
        </w:rPr>
      </w:pPr>
      <w:r>
        <w:rPr>
          <w:rFonts w:eastAsia="Times New Roman" w:cs="Times New Roman"/>
          <w:color w:val="333333"/>
          <w:sz w:val="22"/>
          <w:szCs w:val="22"/>
          <w:lang w:eastAsia="pl-PL"/>
        </w:rPr>
      </w:r>
    </w:p>
    <w:p>
      <w:pPr>
        <w:pStyle w:val="Akapitzlist"/>
        <w:shd w:fill="FFFFFF" w:val="clear"/>
        <w:rPr>
          <w:rFonts w:eastAsia="Times New Roman" w:cs="Times New Roman"/>
          <w:color w:val="333333"/>
          <w:sz w:val="22"/>
          <w:szCs w:val="22"/>
          <w:lang w:eastAsia="pl-PL"/>
        </w:rPr>
      </w:pPr>
      <w:r>
        <w:rPr>
          <w:rFonts w:eastAsia="Times New Roman" w:cs="Times New Roman"/>
          <w:color w:val="333333"/>
          <w:sz w:val="22"/>
          <w:szCs w:val="22"/>
          <w:lang w:eastAsia="pl-PL"/>
        </w:rPr>
      </w:r>
    </w:p>
    <w:p>
      <w:pPr>
        <w:pStyle w:val="Akapitzlist"/>
        <w:shd w:fill="FFFFFF" w:val="clear"/>
        <w:rPr>
          <w:rFonts w:eastAsia="Times New Roman" w:cs="Times New Roman"/>
          <w:color w:val="333333"/>
          <w:sz w:val="22"/>
          <w:szCs w:val="22"/>
          <w:lang w:eastAsia="pl-PL"/>
        </w:rPr>
      </w:pPr>
      <w:r>
        <w:rPr>
          <w:rFonts w:eastAsia="Times New Roman" w:cs="Times New Roman"/>
          <w:color w:val="333333"/>
          <w:sz w:val="22"/>
          <w:szCs w:val="22"/>
          <w:lang w:eastAsia="pl-PL"/>
        </w:rPr>
      </w:r>
    </w:p>
    <w:p>
      <w:pPr>
        <w:pStyle w:val="Akapitzlist"/>
        <w:shd w:fill="FFFFFF" w:val="clear"/>
        <w:rPr>
          <w:rFonts w:eastAsia="Times New Roman" w:cs="Times New Roman"/>
          <w:color w:val="333333"/>
          <w:sz w:val="22"/>
          <w:szCs w:val="22"/>
          <w:lang w:eastAsia="pl-PL"/>
        </w:rPr>
      </w:pPr>
      <w:r>
        <w:rPr>
          <w:rFonts w:eastAsia="Times New Roman" w:cs="Times New Roman"/>
          <w:color w:val="333333"/>
          <w:sz w:val="22"/>
          <w:szCs w:val="22"/>
          <w:lang w:eastAsia="pl-PL"/>
        </w:rPr>
      </w:r>
    </w:p>
    <w:p>
      <w:pPr>
        <w:pStyle w:val="Akapitzlist"/>
        <w:shd w:fill="FFFFFF" w:val="clear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zlist"/>
        <w:shd w:fill="FFFFFF" w:val="clear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zlist"/>
        <w:shd w:fill="FFFFFF" w:val="clear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zlist"/>
        <w:shd w:fill="FFFFFF" w:val="clear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zlist"/>
        <w:shd w:fill="FFFFFF" w:val="clear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zlist"/>
        <w:shd w:fill="FFFFFF" w:val="clear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zlist"/>
        <w:shd w:fill="FFFFFF" w:val="clear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zlist"/>
        <w:shd w:fill="FFFFFF" w:val="clear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zlist"/>
        <w:shd w:fill="FFFFFF" w:val="clear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zlist"/>
        <w:shd w:fill="FFFFFF" w:val="clear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zlist"/>
        <w:shd w:fill="FFFFFF" w:val="clear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zlist"/>
        <w:shd w:fill="FFFFFF" w:val="clear"/>
        <w:spacing w:lineRule="auto" w:line="276"/>
        <w:ind w:left="0" w:right="0" w:hanging="0"/>
        <w:rPr/>
      </w:pPr>
      <w:r>
        <w:rPr>
          <w:rStyle w:val="Domylnaczcionkaakapitu"/>
          <w:sz w:val="22"/>
          <w:szCs w:val="22"/>
        </w:rPr>
        <w:t>* Tezy ogólne doprecyzowuje przewodniczący Komisji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63" w:top="2458" w:footer="415" w:bottom="126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OpenSymbol">
    <w:altName w:val="Arial Unicode MS"/>
    <w:charset w:val="ee"/>
    <w:family w:val="auto"/>
    <w:pitch w:val="variable"/>
  </w:font>
  <w:font w:name="Wingdings">
    <w:charset w:val="02"/>
    <w:family w:val="auto"/>
    <w:pitch w:val="variable"/>
  </w:font>
  <w:font w:name="Tahoma">
    <w:charset w:val="ee"/>
    <w:family w:val="swiss"/>
    <w:pitch w:val="variable"/>
  </w:font>
  <w:font w:name="Cambria">
    <w:charset w:val="ee"/>
    <w:family w:val="roman"/>
    <w:pitch w:val="variable"/>
  </w:font>
  <w:font w:name="Courier New">
    <w:charset w:val="ee"/>
    <w:family w:val="modern"/>
    <w:pitch w:val="fixed"/>
  </w:font>
  <w:font w:name="Bookman Old Style">
    <w:charset w:val="ee"/>
    <w:family w:val="roman"/>
    <w:pitch w:val="variable"/>
  </w:font>
  <w:font w:name="Segoe UI">
    <w:charset w:val="ee"/>
    <w:family w:val="swiss"/>
    <w:pitch w:val="variable"/>
  </w:font>
  <w:font w:name="Times New Roman">
    <w:charset w:val="ee"/>
    <w:family w:val="roman"/>
    <w:pitch w:val="variable"/>
  </w:font>
  <w:font w:name="Arial Unicode MS">
    <w:charset w:val="ee"/>
    <w:family w:val="swiss"/>
    <w:pitch w:val="variable"/>
  </w:font>
  <w:font w:name="Candara">
    <w:charset w:val="ee"/>
    <w:family w:val="swiss"/>
    <w:pitch w:val="variable"/>
  </w:font>
  <w:font w:name="Liberation Mono">
    <w:altName w:val="Courier New"/>
    <w:charset w:val="ee"/>
    <w:family w:val="modern"/>
    <w:pitch w:val="fixed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Klavika Regular CE">
    <w:charset w:val="ee"/>
    <w:family w:val="roman"/>
    <w:pitch w:val="variable"/>
  </w:font>
  <w:font w:name="Klavika Regular">
    <w:charset w:val="ee"/>
    <w:family w:val="moder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iniapozioma"/>
      <w:rPr>
        <w:sz w:val="4"/>
        <w:szCs w:val="4"/>
      </w:rPr>
    </w:pPr>
    <w:r>
      <w:rPr>
        <w:sz w:val="4"/>
        <w:szCs w:val="4"/>
      </w:rPr>
    </w:r>
  </w:p>
  <w:p>
    <w:pPr>
      <w:pStyle w:val="Zawartoramki"/>
      <w:spacing w:before="0" w:after="200"/>
      <w:jc w:val="center"/>
      <w:rPr/>
    </w:pPr>
    <w:r>
      <w:rPr>
        <w:rStyle w:val="Domylnaczcionkaakapitu"/>
        <w:rFonts w:cs="Klavika Regular CE" w:ascii="Klavika Regular CE" w:hAnsi="Klavika Regular CE"/>
        <w:color w:val="404040"/>
        <w:sz w:val="20"/>
        <w:szCs w:val="20"/>
      </w:rPr>
      <w:t>Al. Racławickie 14 | 20-950</w:t>
    </w:r>
    <w:r>
      <w:rPr>
        <w:rStyle w:val="Domylnaczcionkaakapitu"/>
        <w:rFonts w:cs="Klavika Regular" w:ascii="Klavika Regular" w:hAnsi="Klavika Regular"/>
        <w:color w:val="404040"/>
        <w:sz w:val="20"/>
        <w:szCs w:val="20"/>
      </w:rPr>
      <w:t xml:space="preserve"> Lublin | tel. +48 81 445 3</w:t>
    </w:r>
    <w:r>
      <w:rPr>
        <w:rStyle w:val="Domylnaczcionkaakapitu"/>
        <w:rFonts w:cs="Klavika Regular" w:ascii="Klavika Regular" w:hAnsi="Klavika Regular"/>
        <w:color w:val="404040"/>
        <w:sz w:val="20"/>
        <w:szCs w:val="20"/>
      </w:rPr>
      <w:t>2</w:t>
    </w:r>
    <w:r>
      <w:rPr>
        <w:rStyle w:val="Domylnaczcionkaakapitu"/>
        <w:rFonts w:cs="Klavika Regular" w:ascii="Klavika Regular" w:hAnsi="Klavika Regular"/>
        <w:color w:val="404040"/>
        <w:sz w:val="20"/>
        <w:szCs w:val="20"/>
      </w:rPr>
      <w:t xml:space="preserve"> 2</w:t>
    </w:r>
    <w:r>
      <w:rPr>
        <w:rStyle w:val="Domylnaczcionkaakapitu"/>
        <w:rFonts w:cs="Klavika Regular" w:ascii="Klavika Regular" w:hAnsi="Klavika Regular"/>
        <w:color w:val="404040"/>
        <w:sz w:val="20"/>
        <w:szCs w:val="20"/>
      </w:rPr>
      <w:t>5</w:t>
    </w:r>
    <w:r>
      <w:rPr>
        <w:rStyle w:val="Domylnaczcionkaakapitu"/>
        <w:rFonts w:cs="Klavika Regular" w:ascii="Klavika Regular" w:hAnsi="Klavika Regular"/>
        <w:color w:val="404040"/>
        <w:sz w:val="20"/>
        <w:szCs w:val="20"/>
      </w:rPr>
      <w:t xml:space="preserve"> | </w:t>
    </w:r>
    <w:r>
      <w:rPr>
        <w:rStyle w:val="Domylnaczcionkaakapitu"/>
        <w:rFonts w:cs="Klavika Regular" w:ascii="Klavika Regular" w:hAnsi="Klavika Regular"/>
        <w:color w:val="404040"/>
        <w:sz w:val="20"/>
        <w:szCs w:val="20"/>
      </w:rPr>
      <w:t>wns</w:t>
    </w:r>
    <w:hyperlink r:id="rId1" w:tgtFrame="_top">
      <w:r>
        <w:rPr>
          <w:rStyle w:val="Czeinternetowe"/>
          <w:rFonts w:cs="Klavika Regular" w:ascii="Klavika Regular" w:hAnsi="Klavika Regular"/>
          <w:color w:val="000080"/>
          <w:sz w:val="20"/>
          <w:szCs w:val="20"/>
        </w:rPr>
        <w:t>@kul.pl</w:t>
      </w:r>
    </w:hyperlink>
    <w:r>
      <w:rPr>
        <w:rStyle w:val="Domylnaczcionkaakapitu"/>
        <w:rFonts w:cs="Klavika Regular" w:ascii="Klavika Regular" w:hAnsi="Klavika Regular"/>
        <w:color w:val="404040"/>
        <w:sz w:val="20"/>
        <w:szCs w:val="20"/>
      </w:rPr>
      <w:t xml:space="preserve"> | www.kul.pl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Bezodstpw"/>
      <w:jc w:val="right"/>
      <w:rPr/>
    </w:pPr>
    <w:r>
      <w:rPr>
        <w:rStyle w:val="Domylnaczcionkaakapitu"/>
        <w:rFonts w:cs="Klavika Regular CE" w:ascii="Klavika Regular CE" w:hAnsi="Klavika Regular CE"/>
        <w:color w:val="404040"/>
        <w:sz w:val="24"/>
        <w:szCs w:val="24"/>
      </w:rPr>
      <w:t>KATOLICKI UNIWERSYTET LUBELSKI JANA PAWŁA II</w:t>
      <w:br/>
      <w:t xml:space="preserve">Wydział </w:t>
    </w:r>
    <w:r>
      <w:rPr>
        <w:rStyle w:val="Domylnaczcionkaakapitu"/>
        <w:rFonts w:cs="Klavika Regular" w:ascii="Klavika Regular" w:hAnsi="Klavika Regular"/>
        <w:color w:val="404040"/>
        <w:sz w:val="24"/>
        <w:szCs w:val="24"/>
      </w:rPr>
      <w:t xml:space="preserve">Nauk </w:t>
    </w:r>
    <w:r>
      <w:rPr>
        <w:rStyle w:val="Domylnaczcionkaakapitu"/>
        <w:rFonts w:cs="Klavika Regular CE" w:ascii="Klavika Regular CE" w:hAnsi="Klavika Regular CE"/>
        <w:color w:val="404040"/>
        <w:sz w:val="24"/>
        <w:szCs w:val="24"/>
      </w:rPr>
      <w:t>Społecznych</w:t>
    </w:r>
  </w:p>
  <w:p>
    <w:pPr>
      <w:pStyle w:val="Zawartoramki"/>
      <w:tabs>
        <w:tab w:val="clear" w:pos="720"/>
      </w:tabs>
      <w:ind w:left="-426" w:right="0" w:firstLine="426"/>
      <w:jc w:val="right"/>
      <w:rPr>
        <w:rFonts w:ascii="Klavika Regular CE" w:hAnsi="Klavika Regular CE" w:cs="Klavika Regular CE"/>
        <w:b/>
        <w:b/>
        <w:bCs/>
        <w:color w:val="404040"/>
        <w:sz w:val="28"/>
        <w:szCs w:val="28"/>
      </w:rPr>
    </w:pPr>
    <w:r>
      <w:rPr>
        <w:rFonts w:cs="Klavika Regular CE" w:ascii="Klavika Regular CE" w:hAnsi="Klavika Regular CE"/>
        <w:b/>
        <w:bCs/>
        <w:color w:val="404040"/>
        <w:sz w:val="28"/>
        <w:szCs w:val="28"/>
      </w:rPr>
      <w:t>Instytut Pedagogiki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hanging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outlineLvl w:val="0"/>
    </w:pPr>
    <w:rPr>
      <w:rFonts w:eastAsia="Arial Unicode MS"/>
      <w:b/>
      <w:bCs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outlineLvl w:val="1"/>
    </w:pPr>
    <w:rPr>
      <w:rFonts w:eastAsia="Arial Unicode MS"/>
      <w:b/>
      <w:bCs/>
      <w:sz w:val="20"/>
      <w:lang w:val="de-DE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b/>
      <w:bCs/>
    </w:rPr>
  </w:style>
  <w:style w:type="paragraph" w:styleId="Nagwek4">
    <w:name w:val="Heading 4"/>
    <w:basedOn w:val="Nagwek"/>
    <w:next w:val="Tretekstu"/>
    <w:qFormat/>
    <w:pPr>
      <w:numPr>
        <w:ilvl w:val="3"/>
        <w:numId w:val="1"/>
      </w:numPr>
      <w:suppressAutoHyphens w:val="true"/>
      <w:spacing w:before="120" w:after="0"/>
      <w:outlineLvl w:val="3"/>
    </w:pPr>
    <w:rPr>
      <w:rFonts w:ascii="Liberation Serif" w:hAnsi="Liberation Serif" w:eastAsia="SimSun"/>
      <w:b/>
      <w:bCs/>
      <w:sz w:val="24"/>
      <w:szCs w:val="24"/>
    </w:rPr>
  </w:style>
  <w:style w:type="paragraph" w:styleId="Nagwek6">
    <w:name w:val="Heading 6"/>
    <w:basedOn w:val="Normal"/>
    <w:next w:val="Normal"/>
    <w:qFormat/>
    <w:pPr>
      <w:keepNext w:val="true"/>
      <w:numPr>
        <w:ilvl w:val="5"/>
        <w:numId w:val="1"/>
      </w:numPr>
      <w:suppressAutoHyphens w:val="true"/>
      <w:jc w:val="center"/>
      <w:outlineLvl w:val="5"/>
    </w:pPr>
    <w:rPr>
      <w:sz w:val="32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b w:val="false"/>
      <w:bCs w:val="false"/>
      <w:sz w:val="22"/>
      <w:szCs w:val="22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ewyrnione">
    <w:name w:val="Mocne wyróżnione"/>
    <w:qFormat/>
    <w:rPr>
      <w:b/>
      <w:bCs/>
    </w:rPr>
  </w:style>
  <w:style w:type="character" w:styleId="WW8Num9z0">
    <w:name w:val="WW8Num9z0"/>
    <w:qFormat/>
    <w:rPr>
      <w:rFonts w:ascii="Wingdings" w:hAnsi="Wingdings" w:cs="OpenSymbol;Arial Unicode MS"/>
    </w:rPr>
  </w:style>
  <w:style w:type="character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styleId="StopkaZnak">
    <w:name w:val="Stopka Znak"/>
    <w:basedOn w:val="Domylnaczcionkaakapitu"/>
    <w:qFormat/>
    <w:rPr/>
  </w:style>
  <w:style w:type="character" w:styleId="NagwekZnak">
    <w:name w:val="Nagłówek Znak"/>
    <w:basedOn w:val="Domylnaczcionkaakapitu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zeinternetowe">
    <w:name w:val="Łącze internetowe"/>
    <w:rPr>
      <w:color w:val="000080"/>
      <w:u w:val="single"/>
    </w:rPr>
  </w:style>
  <w:style w:type="character" w:styleId="WW8Num10z0">
    <w:name w:val="WW8Num10z0"/>
    <w:qFormat/>
    <w:rPr>
      <w:rFonts w:ascii="Symbol" w:hAnsi="Symbol" w:cs="OpenSymbol;Arial Unicode MS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b w:val="false"/>
      <w:bCs w:val="false"/>
      <w:color w:val="auto"/>
      <w:lang w:val="de-DE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rFonts w:ascii="Calibri" w:hAnsi="Calibri" w:eastAsia="Times New Roman" w:cs="Bookman Old Style"/>
      <w:b w:val="false"/>
      <w:bCs w:val="false"/>
      <w:i w:val="false"/>
      <w:iCs w:val="false"/>
      <w:kern w:val="2"/>
      <w:sz w:val="22"/>
      <w:szCs w:val="22"/>
      <w:lang w:val="pl-PL" w:eastAsia="zh-CN" w:bidi="ar-SA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rFonts w:ascii="Calibri" w:hAnsi="Calibri" w:eastAsia="Times New Roman" w:cs="Times New Roman"/>
      <w:b w:val="false"/>
      <w:bCs w:val="false"/>
      <w:i w:val="false"/>
      <w:iCs w:val="false"/>
      <w:sz w:val="22"/>
      <w:szCs w:val="22"/>
      <w:lang w:bidi="en-US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b w:val="false"/>
      <w:bCs w:val="false"/>
      <w:sz w:val="24"/>
      <w:szCs w:val="24"/>
    </w:rPr>
  </w:style>
  <w:style w:type="character" w:styleId="TytuZnak">
    <w:name w:val="Tytuł Znak"/>
    <w:qFormat/>
    <w:rPr>
      <w:rFonts w:ascii="Cambria" w:hAnsi="Cambria" w:cs="Cambria"/>
      <w:b/>
      <w:spacing w:val="5"/>
      <w:sz w:val="32"/>
      <w:szCs w:val="52"/>
      <w:lang w:val="en-US" w:bidi="ar-SA"/>
    </w:rPr>
  </w:style>
  <w:style w:type="character" w:styleId="Usercontent">
    <w:name w:val="usercontent"/>
    <w:basedOn w:val="Domylnaczcionkaakapitu1"/>
    <w:qFormat/>
    <w:rPr/>
  </w:style>
  <w:style w:type="character" w:styleId="Textexposedshow">
    <w:name w:val="text_exposed_show"/>
    <w:basedOn w:val="Domylnaczcionkaakapitu1"/>
    <w:qFormat/>
    <w:rPr/>
  </w:style>
  <w:style w:type="character" w:styleId="HTMLwstpniesformatowanyZnak">
    <w:name w:val="HTML - wstępnie sformatowany Znak"/>
    <w:qFormat/>
    <w:rPr>
      <w:rFonts w:ascii="Courier New" w:hAnsi="Courier New" w:cs="Courier New"/>
    </w:rPr>
  </w:style>
  <w:style w:type="character" w:styleId="Nagwek2Znak">
    <w:name w:val="Nagłówek 2 Znak"/>
    <w:qFormat/>
    <w:rPr>
      <w:rFonts w:ascii="Bookman Old Style" w:hAnsi="Bookman Old Style" w:cs="Bookman Old Style"/>
      <w:b/>
      <w:bCs/>
      <w:sz w:val="24"/>
      <w:szCs w:val="24"/>
    </w:rPr>
  </w:style>
  <w:style w:type="character" w:styleId="Nagwek6Znak">
    <w:name w:val="Nagłówek 6 Znak"/>
    <w:qFormat/>
    <w:rPr>
      <w:sz w:val="32"/>
      <w:szCs w:val="24"/>
    </w:rPr>
  </w:style>
  <w:style w:type="character" w:styleId="Domylnaczcionkaakapitu1">
    <w:name w:val="Domyślna czcionka akapitu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Domylnaczcionkaakapitu2">
    <w:name w:val="Domyślna czcionka akapitu2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>
      <w:b w:val="false"/>
      <w:bCs w:val="false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Uwydatnienie">
    <w:name w:val="Uwydatnienie"/>
    <w:qFormat/>
    <w:rPr>
      <w:b/>
      <w:bCs/>
      <w:i w:val="false"/>
      <w:iCs w:val="false"/>
    </w:rPr>
  </w:style>
  <w:style w:type="character" w:styleId="WWCharLFO3LVL1">
    <w:name w:val="WW_CharLFO3LVL1"/>
    <w:qFormat/>
    <w:rPr>
      <w:b w:val="false"/>
      <w:bCs w:val="false"/>
      <w:sz w:val="22"/>
      <w:szCs w:val="22"/>
    </w:rPr>
  </w:style>
  <w:style w:type="character" w:styleId="WWCharLFO4LVL1">
    <w:name w:val="WW_CharLFO4LVL1"/>
    <w:qFormat/>
    <w:rPr>
      <w:b w:val="false"/>
      <w:bCs w:val="false"/>
      <w:sz w:val="22"/>
      <w:szCs w:val="22"/>
    </w:rPr>
  </w:style>
  <w:style w:type="character" w:styleId="WWCharLFO5LVL1">
    <w:name w:val="WW_CharLFO5LVL1"/>
    <w:qFormat/>
    <w:rPr>
      <w:rFonts w:ascii="Calibri" w:hAnsi="Calibri" w:eastAsia="Times New Roman" w:cs="Times New Roman"/>
      <w:b w:val="false"/>
      <w:bCs w:val="false"/>
      <w:i w:val="false"/>
      <w:iCs w:val="false"/>
      <w:sz w:val="22"/>
      <w:szCs w:val="22"/>
      <w:lang w:bidi="en-US"/>
    </w:rPr>
  </w:style>
  <w:style w:type="character" w:styleId="WWCharLFO6LVL1">
    <w:name w:val="WW_CharLFO6LVL1"/>
    <w:qFormat/>
    <w:rPr>
      <w:rFonts w:ascii="Calibri" w:hAnsi="Calibri" w:eastAsia="Times New Roman" w:cs="Bookman Old Style"/>
      <w:b w:val="false"/>
      <w:bCs w:val="false"/>
      <w:i w:val="false"/>
      <w:iCs w:val="false"/>
      <w:kern w:val="2"/>
      <w:sz w:val="22"/>
      <w:szCs w:val="22"/>
      <w:lang w:val="pl-PL" w:eastAsia="zh-CN" w:bidi="ar-SA"/>
    </w:rPr>
  </w:style>
  <w:style w:type="character" w:styleId="WWCharLFO7LVL1">
    <w:name w:val="WW_CharLFO7LVL1"/>
    <w:qFormat/>
    <w:rPr>
      <w:b w:val="false"/>
      <w:bCs w:val="false"/>
      <w:color w:val="auto"/>
      <w:lang w:val="de-DE"/>
    </w:rPr>
  </w:style>
  <w:style w:type="character" w:styleId="WWCharLFO12LVL1">
    <w:name w:val="WW_CharLFO12LVL1"/>
    <w:qFormat/>
    <w:rPr>
      <w:rFonts w:cs="Times New Roman"/>
      <w:b w:val="false"/>
      <w:sz w:val="20"/>
      <w:szCs w:val="22"/>
    </w:rPr>
  </w:style>
  <w:style w:type="character" w:styleId="NagwekZnak1">
    <w:name w:val="Nagłówek Znak1"/>
    <w:basedOn w:val="Domylnaczcionkaakapitu"/>
    <w:qFormat/>
    <w:rPr>
      <w:szCs w:val="21"/>
    </w:rPr>
  </w:style>
  <w:style w:type="character" w:styleId="StopkaZnak1">
    <w:name w:val="Stopka Znak1"/>
    <w:basedOn w:val="Domylnaczcionkaakapitu"/>
    <w:qFormat/>
    <w:rPr>
      <w:szCs w:val="21"/>
    </w:rPr>
  </w:style>
  <w:style w:type="character" w:styleId="WWCharLFO15LVL1">
    <w:name w:val="WW_CharLFO15LVL1"/>
    <w:qFormat/>
    <w:rPr>
      <w:rFonts w:cs="Times New Roman"/>
      <w:sz w:val="22"/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ny"/>
    <w:qFormat/>
    <w:pPr>
      <w:tabs>
        <w:tab w:val="clear" w:pos="720"/>
        <w:tab w:val="center" w:pos="4536" w:leader="none"/>
        <w:tab w:val="right" w:pos="9072" w:leader="none"/>
      </w:tabs>
      <w:suppressAutoHyphens w:val="true"/>
    </w:pPr>
    <w:rPr>
      <w:szCs w:val="21"/>
    </w:rPr>
  </w:style>
  <w:style w:type="paragraph" w:styleId="Tretekstu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Gwka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Bezodstpw">
    <w:name w:val="Bez odstępów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imes New Roman" w:cs="Calibri" w:ascii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bidi="ar-SA" w:val="pl-PL" w:eastAsia="zh-CN"/>
    </w:rPr>
  </w:style>
  <w:style w:type="paragraph" w:styleId="Zawartoramki">
    <w:name w:val="Zawartość ramki"/>
    <w:basedOn w:val="Normal"/>
    <w:qFormat/>
    <w:pPr>
      <w:suppressAutoHyphens w:val="true"/>
    </w:pPr>
    <w:rPr/>
  </w:style>
  <w:style w:type="paragraph" w:styleId="Stopka">
    <w:name w:val="Footer"/>
    <w:basedOn w:val="Normalny"/>
    <w:pPr>
      <w:tabs>
        <w:tab w:val="clear" w:pos="720"/>
        <w:tab w:val="center" w:pos="4536" w:leader="none"/>
        <w:tab w:val="right" w:pos="9072" w:leader="none"/>
      </w:tabs>
      <w:suppressAutoHyphens w:val="true"/>
    </w:pPr>
    <w:rPr>
      <w:szCs w:val="21"/>
    </w:rPr>
  </w:style>
  <w:style w:type="paragraph" w:styleId="Liniapozioma">
    <w:name w:val="Linia pozioma"/>
    <w:basedOn w:val="Normal"/>
    <w:next w:val="Tretekstu"/>
    <w:qFormat/>
    <w:pPr>
      <w:suppressLineNumbers/>
      <w:pBdr>
        <w:bottom w:val="double" w:sz="2" w:space="0" w:color="808080"/>
      </w:pBdr>
      <w:suppressAutoHyphens w:val="true"/>
      <w:spacing w:before="0" w:after="283"/>
    </w:pPr>
    <w:rPr>
      <w:sz w:val="12"/>
      <w:szCs w:val="12"/>
    </w:rPr>
  </w:style>
  <w:style w:type="paragraph" w:styleId="Tekstdymka">
    <w:name w:val="Tekst dymka"/>
    <w:basedOn w:val="Normal"/>
    <w:qFormat/>
    <w:pPr>
      <w:suppressAutoHyphens w:val="true"/>
    </w:pPr>
    <w:rPr>
      <w:rFonts w:ascii="Segoe UI" w:hAnsi="Segoe UI" w:cs="Segoe UI"/>
      <w:sz w:val="18"/>
      <w:szCs w:val="18"/>
    </w:rPr>
  </w:style>
  <w:style w:type="paragraph" w:styleId="NoSpacing1">
    <w:name w:val="No Spacing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eastAsia="Arial" w:cs="Calibri" w:ascii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bidi="ar-SA" w:val="pl-PL" w:eastAsia="zh-CN"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Tekstpodstawowywcity2">
    <w:name w:val="Tekst podstawowy wcięty 2"/>
    <w:basedOn w:val="Normal"/>
    <w:qFormat/>
    <w:pPr>
      <w:suppressAutoHyphens w:val="true"/>
      <w:ind w:left="0" w:right="0" w:firstLine="708"/>
    </w:pPr>
    <w:rPr/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de-DE" w:bidi="fa-IR" w:eastAsia="zh-CN"/>
    </w:rPr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  <w:style w:type="paragraph" w:styleId="Podtytu">
    <w:name w:val="Subtitle"/>
    <w:basedOn w:val="Nagwek"/>
    <w:next w:val="Tretekstu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Tytu">
    <w:name w:val="Title"/>
    <w:basedOn w:val="Nagwek"/>
    <w:next w:val="Tretekstu"/>
    <w:qFormat/>
    <w:pPr>
      <w:suppressAutoHyphens w:val="true"/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tabs>
        <w:tab w:val="clear" w:pos="720"/>
      </w:tabs>
      <w:suppressAutoHyphens w:val="true"/>
      <w:spacing w:before="0" w:after="283"/>
      <w:ind w:left="567" w:right="567" w:hanging="0"/>
    </w:pPr>
    <w:rPr/>
  </w:style>
  <w:style w:type="paragraph" w:styleId="Akapitzlist">
    <w:name w:val="Akapit z listą"/>
    <w:basedOn w:val="Normal"/>
    <w:qFormat/>
    <w:pPr>
      <w:tabs>
        <w:tab w:val="clear" w:pos="720"/>
      </w:tabs>
      <w:suppressAutoHyphens w:val="true"/>
      <w:ind w:left="708" w:right="0" w:hanging="0"/>
    </w:pPr>
    <w:rPr/>
  </w:style>
  <w:style w:type="paragraph" w:styleId="Zwykytekst1">
    <w:name w:val="Zwykły tekst1"/>
    <w:basedOn w:val="Normal"/>
    <w:qFormat/>
    <w:pPr>
      <w:suppressAutoHyphens w:val="true"/>
    </w:pPr>
    <w:rPr>
      <w:rFonts w:eastAsia="Calibri" w:cs="Times New Roman"/>
      <w:sz w:val="22"/>
      <w:szCs w:val="21"/>
      <w:lang w:val="en-US"/>
    </w:rPr>
  </w:style>
  <w:style w:type="paragraph" w:styleId="NormalnyWeb">
    <w:name w:val="Normalny (Web)"/>
    <w:basedOn w:val="Normal"/>
    <w:qFormat/>
    <w:pPr>
      <w:suppressAutoHyphens w:val="true"/>
      <w:spacing w:before="280" w:after="280"/>
    </w:pPr>
    <w:rPr/>
  </w:style>
  <w:style w:type="paragraph" w:styleId="Western">
    <w:name w:val="western"/>
    <w:basedOn w:val="Normal"/>
    <w:qFormat/>
    <w:pPr>
      <w:suppressAutoHyphens w:val="false"/>
      <w:spacing w:before="280" w:after="280"/>
    </w:pPr>
    <w:rPr>
      <w:rFonts w:ascii="Arial Unicode MS" w:hAnsi="Arial Unicode MS" w:eastAsia="Arial Unicode MS" w:cs="Arial Unicode MS"/>
      <w:color w:val="FF00FF"/>
    </w:rPr>
  </w:style>
  <w:style w:type="paragraph" w:styleId="Tekstpodstawowywcity21">
    <w:name w:val="Tekst podstawowy wcięty 21"/>
    <w:basedOn w:val="Normal"/>
    <w:qFormat/>
    <w:pPr>
      <w:suppressAutoHyphens w:val="true"/>
      <w:ind w:left="0" w:right="0" w:firstLine="708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pl-PL" w:eastAsia="zh-CN"/>
    </w:rPr>
  </w:style>
  <w:style w:type="paragraph" w:styleId="HTMLwstpniesformatowany">
    <w:name w:val="HTML - wstępnie sformatowany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Courier New" w:hAnsi="Courier New" w:cs="Courier New"/>
      <w:sz w:val="20"/>
      <w:szCs w:val="20"/>
    </w:rPr>
  </w:style>
  <w:style w:type="paragraph" w:styleId="Tytulik">
    <w:name w:val="tytulik"/>
    <w:basedOn w:val="Nagwek11"/>
    <w:qFormat/>
    <w:pPr>
      <w:suppressAutoHyphens w:val="true"/>
    </w:pPr>
    <w:rPr>
      <w:rFonts w:ascii="Candara" w:hAnsi="Candara" w:cs="Candara"/>
      <w:sz w:val="24"/>
    </w:rPr>
  </w:style>
  <w:style w:type="paragraph" w:styleId="Tekstwstpniesformatowany">
    <w:name w:val="Tekst wstępnie sformatowany"/>
    <w:basedOn w:val="Normal"/>
    <w:qFormat/>
    <w:pPr>
      <w:suppressAutoHyphens w:val="true"/>
    </w:pPr>
    <w:rPr>
      <w:rFonts w:ascii="Liberation Mono" w:hAnsi="Liberation Mono" w:eastAsia="Courier New" w:cs="Liberation Mono"/>
      <w:sz w:val="20"/>
      <w:szCs w:val="20"/>
    </w:rPr>
  </w:style>
  <w:style w:type="paragraph" w:styleId="Wcicietrecitekstu">
    <w:name w:val="Body Text Indent"/>
    <w:basedOn w:val="Normal"/>
    <w:pPr>
      <w:suppressAutoHyphens w:val="true"/>
      <w:spacing w:lineRule="auto" w:line="360"/>
      <w:ind w:left="0" w:right="0" w:firstLine="708"/>
      <w:jc w:val="both"/>
    </w:pPr>
    <w:rPr/>
  </w:style>
  <w:style w:type="paragraph" w:styleId="Legenda1">
    <w:name w:val="Legenda1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agwek11">
    <w:name w:val="Nagłówek1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SimSun;宋体"/>
      <w:sz w:val="28"/>
      <w:szCs w:val="28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agwek21">
    <w:name w:val="Nagłówek2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stped@kul.pl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LibreOffice/7.0.2.2$Windows_X86_64 LibreOffice_project/8349ace3c3162073abd90d81fd06dcfb6b36b994</Application>
  <Pages>2</Pages>
  <Words>483</Words>
  <Characters>3445</Characters>
  <CharactersWithSpaces>3889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2025-01-30T18:33:00Z</dcterms:created>
  <dc:creator>Błażej</dc:creator>
  <dc:description/>
  <dc:language>pl-PL</dc:language>
  <cp:lastModifiedBy/>
  <dcterms:modified xsi:type="dcterms:W3CDTF">2025-03-11T14:12:43Z</dcterms:modified>
  <cp:revision>6</cp:revision>
  <dc:subject/>
  <dc:title/>
</cp:coreProperties>
</file>